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F64" w:rsidRPr="00982E1D" w:rsidRDefault="00DE2F64" w:rsidP="00982E1D">
      <w:pPr>
        <w:rPr>
          <w:szCs w:val="24"/>
        </w:rPr>
      </w:pPr>
    </w:p>
    <w:p w:rsidR="00982E1D" w:rsidRPr="00982E1D" w:rsidRDefault="00982E1D" w:rsidP="00982E1D">
      <w:pPr>
        <w:pStyle w:val="Title"/>
        <w:rPr>
          <w:b/>
          <w:sz w:val="44"/>
          <w:szCs w:val="44"/>
        </w:rPr>
      </w:pPr>
      <w:r w:rsidRPr="00982E1D">
        <w:rPr>
          <w:b/>
          <w:sz w:val="44"/>
          <w:szCs w:val="44"/>
        </w:rPr>
        <w:t>Transgender Health and the Law:</w:t>
      </w:r>
    </w:p>
    <w:p w:rsidR="00982E1D" w:rsidRPr="00982E1D" w:rsidRDefault="00982E1D" w:rsidP="00982E1D">
      <w:pPr>
        <w:pStyle w:val="Subtitle"/>
        <w:rPr>
          <w:b w:val="0"/>
          <w:sz w:val="32"/>
          <w:szCs w:val="32"/>
        </w:rPr>
      </w:pPr>
      <w:r w:rsidRPr="00982E1D">
        <w:rPr>
          <w:b w:val="0"/>
          <w:sz w:val="32"/>
          <w:szCs w:val="32"/>
        </w:rPr>
        <w:t>Identifying and Fighting Health Care Discrimination</w:t>
      </w:r>
      <w:r w:rsidR="00EE7CC6">
        <w:rPr>
          <w:b w:val="0"/>
          <w:sz w:val="32"/>
          <w:szCs w:val="32"/>
        </w:rPr>
        <w:t xml:space="preserve"> in California</w:t>
      </w:r>
    </w:p>
    <w:p w:rsidR="00982E1D" w:rsidRPr="00982E1D" w:rsidRDefault="00982E1D" w:rsidP="00982E1D">
      <w:pPr>
        <w:rPr>
          <w:b/>
          <w:bCs/>
          <w:szCs w:val="24"/>
        </w:rPr>
      </w:pPr>
    </w:p>
    <w:p w:rsidR="00982E1D" w:rsidRDefault="00982E1D" w:rsidP="00982E1D">
      <w:pPr>
        <w:rPr>
          <w:b/>
          <w:bCs/>
          <w:szCs w:val="24"/>
        </w:rPr>
      </w:pPr>
      <w:r w:rsidRPr="00982E1D">
        <w:rPr>
          <w:b/>
          <w:bCs/>
          <w:szCs w:val="24"/>
        </w:rPr>
        <w:t>Health Care Access</w:t>
      </w:r>
    </w:p>
    <w:p w:rsidR="002B6313" w:rsidRPr="00982E1D" w:rsidRDefault="002B6313" w:rsidP="00982E1D">
      <w:pPr>
        <w:rPr>
          <w:b/>
          <w:bCs/>
          <w:szCs w:val="24"/>
        </w:rPr>
      </w:pPr>
    </w:p>
    <w:p w:rsidR="00982E1D" w:rsidRPr="00982E1D" w:rsidRDefault="00982E1D" w:rsidP="00982E1D">
      <w:pPr>
        <w:rPr>
          <w:color w:val="000000"/>
          <w:spacing w:val="-4"/>
          <w:szCs w:val="24"/>
        </w:rPr>
      </w:pPr>
      <w:r w:rsidRPr="00982E1D">
        <w:rPr>
          <w:color w:val="000000"/>
          <w:spacing w:val="-4"/>
          <w:szCs w:val="24"/>
        </w:rPr>
        <w:t xml:space="preserve">Like most people in the </w:t>
      </w:r>
      <w:smartTag w:uri="urn:schemas-microsoft-com:office:smarttags" w:element="country-region">
        <w:smartTag w:uri="urn:schemas-microsoft-com:office:smarttags" w:element="place">
          <w:r w:rsidRPr="00982E1D">
            <w:rPr>
              <w:color w:val="000000"/>
              <w:spacing w:val="-4"/>
              <w:szCs w:val="24"/>
            </w:rPr>
            <w:t>United States</w:t>
          </w:r>
        </w:smartTag>
      </w:smartTag>
      <w:r w:rsidRPr="00982E1D">
        <w:rPr>
          <w:color w:val="000000"/>
          <w:spacing w:val="-4"/>
          <w:szCs w:val="24"/>
        </w:rPr>
        <w:t>, transgender and gender non-conforming people have great difficulty securing affordable, comprehensive health care. The</w:t>
      </w:r>
      <w:r w:rsidRPr="00982E1D">
        <w:rPr>
          <w:color w:val="000000"/>
          <w:szCs w:val="24"/>
        </w:rPr>
        <w:t xml:space="preserve"> </w:t>
      </w:r>
      <w:r w:rsidRPr="00982E1D">
        <w:rPr>
          <w:color w:val="000000"/>
          <w:spacing w:val="-4"/>
          <w:szCs w:val="24"/>
        </w:rPr>
        <w:t>situation is compounded by systemic discrimination and health care providers’ lack of basic cultural competency on transgender issues. Gender identity discrimination in the form of ignorance, insensitivity, and outright bigotry is alienating and keeps people from accessing medically necessary care, such as hormone therapy, surgery, and mental health services. Health care injustice has life-long effects on people’s ability to learn, work, and care for themselves mentally and physically.</w:t>
      </w:r>
    </w:p>
    <w:p w:rsidR="00982E1D" w:rsidRPr="00982E1D" w:rsidRDefault="00982E1D" w:rsidP="00982E1D">
      <w:pPr>
        <w:rPr>
          <w:spacing w:val="-4"/>
          <w:szCs w:val="24"/>
        </w:rPr>
      </w:pPr>
    </w:p>
    <w:p w:rsidR="00982E1D" w:rsidRDefault="00982E1D" w:rsidP="00982E1D">
      <w:pPr>
        <w:rPr>
          <w:b/>
          <w:spacing w:val="-4"/>
          <w:szCs w:val="24"/>
        </w:rPr>
      </w:pPr>
      <w:r w:rsidRPr="00982E1D">
        <w:rPr>
          <w:b/>
          <w:spacing w:val="-4"/>
          <w:szCs w:val="24"/>
        </w:rPr>
        <w:t>What is Gender Identity Discrimination?</w:t>
      </w:r>
    </w:p>
    <w:p w:rsidR="002B6313" w:rsidRPr="00982E1D" w:rsidRDefault="002B6313" w:rsidP="00982E1D">
      <w:pPr>
        <w:rPr>
          <w:b/>
          <w:spacing w:val="-4"/>
          <w:szCs w:val="24"/>
        </w:rPr>
      </w:pPr>
    </w:p>
    <w:p w:rsidR="00982E1D" w:rsidRDefault="00982E1D" w:rsidP="00982E1D">
      <w:pPr>
        <w:pStyle w:val="Heading1"/>
        <w:spacing w:before="0" w:after="0"/>
        <w:rPr>
          <w:rFonts w:ascii="Times New Roman" w:hAnsi="Times New Roman" w:cs="Times New Roman"/>
          <w:b w:val="0"/>
          <w:bCs w:val="0"/>
          <w:sz w:val="24"/>
          <w:szCs w:val="24"/>
        </w:rPr>
      </w:pPr>
      <w:r w:rsidRPr="00982E1D">
        <w:rPr>
          <w:rFonts w:ascii="Times New Roman" w:hAnsi="Times New Roman" w:cs="Times New Roman"/>
          <w:b w:val="0"/>
          <w:bCs w:val="0"/>
          <w:sz w:val="24"/>
          <w:szCs w:val="24"/>
        </w:rPr>
        <w:t>Gender identity discrimination in health care settings occurs when you are denied equal access to health care and services, and/or you are subjected to a hostile or insensitive environment because you are, or are perceived to be, transgender or gender non-conforming. Such discrimination may be compounded with discrimination based on other characteristics (i.e. race, se</w:t>
      </w:r>
      <w:smartTag w:uri="urn:schemas-microsoft-com:office:smarttags" w:element="PersonName">
        <w:r w:rsidRPr="00982E1D">
          <w:rPr>
            <w:rFonts w:ascii="Times New Roman" w:hAnsi="Times New Roman" w:cs="Times New Roman"/>
            <w:b w:val="0"/>
            <w:bCs w:val="0"/>
            <w:sz w:val="24"/>
            <w:szCs w:val="24"/>
          </w:rPr>
          <w:t>x</w:t>
        </w:r>
      </w:smartTag>
      <w:r w:rsidRPr="00982E1D">
        <w:rPr>
          <w:rFonts w:ascii="Times New Roman" w:hAnsi="Times New Roman" w:cs="Times New Roman"/>
          <w:b w:val="0"/>
          <w:bCs w:val="0"/>
          <w:sz w:val="24"/>
          <w:szCs w:val="24"/>
        </w:rPr>
        <w:t>, se</w:t>
      </w:r>
      <w:smartTag w:uri="urn:schemas-microsoft-com:office:smarttags" w:element="PersonName">
        <w:r w:rsidRPr="00982E1D">
          <w:rPr>
            <w:rFonts w:ascii="Times New Roman" w:hAnsi="Times New Roman" w:cs="Times New Roman"/>
            <w:b w:val="0"/>
            <w:bCs w:val="0"/>
            <w:sz w:val="24"/>
            <w:szCs w:val="24"/>
          </w:rPr>
          <w:t>x</w:t>
        </w:r>
      </w:smartTag>
      <w:r w:rsidRPr="00982E1D">
        <w:rPr>
          <w:rFonts w:ascii="Times New Roman" w:hAnsi="Times New Roman" w:cs="Times New Roman"/>
          <w:b w:val="0"/>
          <w:bCs w:val="0"/>
          <w:sz w:val="24"/>
          <w:szCs w:val="24"/>
        </w:rPr>
        <w:t>ual orienta</w:t>
      </w:r>
      <w:r w:rsidR="00392886">
        <w:rPr>
          <w:rFonts w:ascii="Times New Roman" w:hAnsi="Times New Roman" w:cs="Times New Roman"/>
          <w:b w:val="0"/>
          <w:bCs w:val="0"/>
          <w:sz w:val="24"/>
          <w:szCs w:val="24"/>
        </w:rPr>
        <w:t>tion, disability, etc.). G</w:t>
      </w:r>
      <w:r w:rsidRPr="00982E1D">
        <w:rPr>
          <w:rFonts w:ascii="Times New Roman" w:hAnsi="Times New Roman" w:cs="Times New Roman"/>
          <w:b w:val="0"/>
          <w:bCs w:val="0"/>
          <w:sz w:val="24"/>
          <w:szCs w:val="24"/>
        </w:rPr>
        <w:t>ender identity-relat</w:t>
      </w:r>
      <w:r w:rsidR="00392886">
        <w:rPr>
          <w:rFonts w:ascii="Times New Roman" w:hAnsi="Times New Roman" w:cs="Times New Roman"/>
          <w:b w:val="0"/>
          <w:bCs w:val="0"/>
          <w:sz w:val="24"/>
          <w:szCs w:val="24"/>
        </w:rPr>
        <w:t>ed health care discrimination usually takes one of two forms</w:t>
      </w:r>
      <w:r w:rsidRPr="00982E1D">
        <w:rPr>
          <w:rFonts w:ascii="Times New Roman" w:hAnsi="Times New Roman" w:cs="Times New Roman"/>
          <w:b w:val="0"/>
          <w:bCs w:val="0"/>
          <w:sz w:val="24"/>
          <w:szCs w:val="24"/>
        </w:rPr>
        <w:t xml:space="preserve">: 1) </w:t>
      </w:r>
      <w:r w:rsidR="00392886">
        <w:rPr>
          <w:rFonts w:ascii="Times New Roman" w:hAnsi="Times New Roman" w:cs="Times New Roman"/>
          <w:b w:val="0"/>
          <w:bCs w:val="0"/>
          <w:sz w:val="24"/>
          <w:szCs w:val="24"/>
        </w:rPr>
        <w:t>inappropriate treatment in a health care setting such as a doctor’s office, hospital, community clinic, or other heath care facility</w:t>
      </w:r>
      <w:r w:rsidR="00392886" w:rsidRPr="00982E1D">
        <w:rPr>
          <w:rFonts w:ascii="Times New Roman" w:hAnsi="Times New Roman" w:cs="Times New Roman"/>
          <w:b w:val="0"/>
          <w:bCs w:val="0"/>
          <w:sz w:val="24"/>
          <w:szCs w:val="24"/>
        </w:rPr>
        <w:t>; and 2)</w:t>
      </w:r>
      <w:r w:rsidR="00392886">
        <w:rPr>
          <w:rFonts w:ascii="Times New Roman" w:hAnsi="Times New Roman" w:cs="Times New Roman"/>
          <w:b w:val="0"/>
          <w:bCs w:val="0"/>
          <w:sz w:val="24"/>
          <w:szCs w:val="24"/>
        </w:rPr>
        <w:t xml:space="preserve"> </w:t>
      </w:r>
      <w:r w:rsidR="00392886" w:rsidRPr="00982E1D">
        <w:rPr>
          <w:rFonts w:ascii="Times New Roman" w:hAnsi="Times New Roman" w:cs="Times New Roman"/>
          <w:b w:val="0"/>
          <w:bCs w:val="0"/>
          <w:sz w:val="24"/>
          <w:szCs w:val="24"/>
        </w:rPr>
        <w:t>being denied complete or partial health insurance coverage</w:t>
      </w:r>
      <w:r w:rsidR="00392886">
        <w:rPr>
          <w:rFonts w:ascii="Times New Roman" w:hAnsi="Times New Roman" w:cs="Times New Roman"/>
          <w:b w:val="0"/>
          <w:bCs w:val="0"/>
          <w:sz w:val="24"/>
          <w:szCs w:val="24"/>
        </w:rPr>
        <w:t>.</w:t>
      </w:r>
    </w:p>
    <w:p w:rsidR="003938BE" w:rsidRDefault="00392886" w:rsidP="00392886">
      <w:pPr>
        <w:tabs>
          <w:tab w:val="left" w:pos="2865"/>
        </w:tabs>
      </w:pPr>
      <w:r>
        <w:tab/>
      </w:r>
    </w:p>
    <w:p w:rsidR="00392886" w:rsidRPr="00392886" w:rsidRDefault="00392886" w:rsidP="00392886">
      <w:pPr>
        <w:jc w:val="center"/>
        <w:rPr>
          <w:b/>
          <w:u w:val="single"/>
        </w:rPr>
      </w:pPr>
      <w:r w:rsidRPr="00392886">
        <w:rPr>
          <w:b/>
          <w:u w:val="single"/>
        </w:rPr>
        <w:t>Discrimination in Health Care Settings</w:t>
      </w:r>
    </w:p>
    <w:p w:rsidR="00392886" w:rsidRDefault="00392886" w:rsidP="003938BE"/>
    <w:p w:rsidR="00392886" w:rsidRPr="00982E1D" w:rsidRDefault="00392886" w:rsidP="004E390B">
      <w:pPr>
        <w:pStyle w:val="Heading1"/>
        <w:spacing w:before="0" w:after="0"/>
        <w:rPr>
          <w:rFonts w:ascii="Times New Roman" w:hAnsi="Times New Roman" w:cs="Times New Roman"/>
          <w:sz w:val="24"/>
          <w:szCs w:val="24"/>
        </w:rPr>
      </w:pPr>
      <w:r w:rsidRPr="00982E1D">
        <w:rPr>
          <w:rFonts w:ascii="Times New Roman" w:hAnsi="Times New Roman" w:cs="Times New Roman"/>
          <w:sz w:val="24"/>
          <w:szCs w:val="24"/>
        </w:rPr>
        <w:t>Discrimination by Providers of Health Care and Services</w:t>
      </w:r>
    </w:p>
    <w:p w:rsidR="00392886" w:rsidRPr="00982E1D" w:rsidRDefault="00392886" w:rsidP="00392886">
      <w:pPr>
        <w:pStyle w:val="Heading1"/>
        <w:spacing w:before="0" w:after="0"/>
        <w:rPr>
          <w:rFonts w:ascii="Times New Roman" w:hAnsi="Times New Roman" w:cs="Times New Roman"/>
          <w:b w:val="0"/>
          <w:sz w:val="24"/>
          <w:szCs w:val="24"/>
        </w:rPr>
      </w:pPr>
    </w:p>
    <w:p w:rsidR="00392886" w:rsidRDefault="004E390B" w:rsidP="00392886">
      <w:pPr>
        <w:rPr>
          <w:szCs w:val="24"/>
        </w:rPr>
      </w:pPr>
      <w:r>
        <w:rPr>
          <w:szCs w:val="24"/>
        </w:rPr>
        <w:t xml:space="preserve">Unfortunately, many transgender people </w:t>
      </w:r>
      <w:r w:rsidR="00392886" w:rsidRPr="00982E1D">
        <w:rPr>
          <w:szCs w:val="24"/>
        </w:rPr>
        <w:t>e</w:t>
      </w:r>
      <w:smartTag w:uri="urn:schemas-microsoft-com:office:smarttags" w:element="PersonName">
        <w:r w:rsidR="00392886" w:rsidRPr="00982E1D">
          <w:rPr>
            <w:szCs w:val="24"/>
          </w:rPr>
          <w:t>x</w:t>
        </w:r>
      </w:smartTag>
      <w:r w:rsidR="00392886" w:rsidRPr="00982E1D">
        <w:rPr>
          <w:szCs w:val="24"/>
        </w:rPr>
        <w:t>perience gender identity-related h</w:t>
      </w:r>
      <w:r w:rsidR="00392886" w:rsidRPr="00982E1D">
        <w:rPr>
          <w:bCs/>
          <w:szCs w:val="24"/>
        </w:rPr>
        <w:t>ealth care discrimination</w:t>
      </w:r>
      <w:r w:rsidR="00392886" w:rsidRPr="00982E1D">
        <w:rPr>
          <w:szCs w:val="24"/>
        </w:rPr>
        <w:t xml:space="preserve"> when seeking care and services from doctors, nurses, hospital staff, and/or other health care providers (such as acupuncturists, chiropractors, or mental health therapists). Gender identity discrimination can also occur in residential/long-term care facilities (such as mental health or drug treatment facilities) and public health community-based organizations (such as HIV prevention agencies).</w:t>
      </w:r>
    </w:p>
    <w:p w:rsidR="00392886" w:rsidRPr="00982E1D" w:rsidRDefault="00392886" w:rsidP="00392886">
      <w:pPr>
        <w:rPr>
          <w:szCs w:val="24"/>
        </w:rPr>
      </w:pPr>
    </w:p>
    <w:p w:rsidR="00392886" w:rsidRDefault="00392886" w:rsidP="00392886">
      <w:pPr>
        <w:rPr>
          <w:szCs w:val="24"/>
        </w:rPr>
      </w:pPr>
      <w:r w:rsidRPr="00982E1D">
        <w:rPr>
          <w:szCs w:val="24"/>
        </w:rPr>
        <w:t>Disc</w:t>
      </w:r>
      <w:r w:rsidR="004E390B">
        <w:rPr>
          <w:szCs w:val="24"/>
        </w:rPr>
        <w:t xml:space="preserve">riminatory conduct can include </w:t>
      </w:r>
      <w:r w:rsidRPr="00982E1D">
        <w:rPr>
          <w:szCs w:val="24"/>
        </w:rPr>
        <w:t xml:space="preserve">inappropriate name or pronoun use, invasive inquiries about your genitalia or transgender status, denial of access to the restroom or housing facility that corresponds to your gender identity, use of epithets, and/or hostile or intimidating behavior. </w:t>
      </w:r>
      <w:r w:rsidRPr="00982E1D">
        <w:rPr>
          <w:szCs w:val="24"/>
        </w:rPr>
        <w:lastRenderedPageBreak/>
        <w:t>Some e</w:t>
      </w:r>
      <w:smartTag w:uri="urn:schemas-microsoft-com:office:smarttags" w:element="PersonName">
        <w:r w:rsidRPr="00982E1D">
          <w:rPr>
            <w:szCs w:val="24"/>
          </w:rPr>
          <w:t>x</w:t>
        </w:r>
      </w:smartTag>
      <w:r w:rsidR="00C203D4">
        <w:rPr>
          <w:szCs w:val="24"/>
        </w:rPr>
        <w:t xml:space="preserve">amples of discrimination are </w:t>
      </w:r>
      <w:r w:rsidRPr="00982E1D">
        <w:rPr>
          <w:szCs w:val="24"/>
        </w:rPr>
        <w:t xml:space="preserve">being forced to revert to the gender you were assigned at birth in order to access health care, or having a dentist or ear/nose/throat doctor ask questions about your genitals. </w:t>
      </w:r>
    </w:p>
    <w:p w:rsidR="000D4B91" w:rsidRDefault="000D4B91" w:rsidP="00392886">
      <w:pPr>
        <w:rPr>
          <w:szCs w:val="24"/>
        </w:rPr>
      </w:pPr>
    </w:p>
    <w:p w:rsidR="000D4B91" w:rsidRPr="00982E1D" w:rsidRDefault="00454D73" w:rsidP="00392886">
      <w:pPr>
        <w:rPr>
          <w:szCs w:val="24"/>
        </w:rPr>
      </w:pPr>
      <w:r>
        <w:rPr>
          <w:szCs w:val="24"/>
        </w:rPr>
        <w:t>While health care providers may not be required to perform procedures with which they are not familiar, they cannot refuse to treat a person solely because the person is transgender. Additionally, it may be unlawful for a health care provider to refuse to provide care or treatment to a transgender person if such care and treatment is regularly provider to nontransgender people.</w:t>
      </w:r>
    </w:p>
    <w:p w:rsidR="00392886" w:rsidRDefault="00392886" w:rsidP="00392886">
      <w:pPr>
        <w:rPr>
          <w:bCs/>
          <w:szCs w:val="24"/>
        </w:rPr>
      </w:pPr>
    </w:p>
    <w:p w:rsidR="004E390B" w:rsidRPr="003938BE" w:rsidRDefault="004E390B" w:rsidP="004E390B">
      <w:pPr>
        <w:rPr>
          <w:b/>
        </w:rPr>
      </w:pPr>
      <w:r w:rsidRPr="003938BE">
        <w:rPr>
          <w:b/>
        </w:rPr>
        <w:t>Are There Any Laws Prohibiting Discrimination In Health Care</w:t>
      </w:r>
      <w:r>
        <w:rPr>
          <w:b/>
        </w:rPr>
        <w:t xml:space="preserve"> Settings</w:t>
      </w:r>
      <w:r w:rsidRPr="003938BE">
        <w:rPr>
          <w:b/>
        </w:rPr>
        <w:t>?</w:t>
      </w:r>
    </w:p>
    <w:p w:rsidR="004E390B" w:rsidRPr="00982E1D" w:rsidRDefault="004E390B" w:rsidP="00392886">
      <w:pPr>
        <w:rPr>
          <w:bCs/>
          <w:szCs w:val="24"/>
        </w:rPr>
      </w:pPr>
    </w:p>
    <w:p w:rsidR="004E390B" w:rsidRDefault="00392886" w:rsidP="004E390B">
      <w:r w:rsidRPr="00982E1D">
        <w:rPr>
          <w:bCs/>
          <w:szCs w:val="24"/>
        </w:rPr>
        <w:t xml:space="preserve">Since most medical schools and other health care training programs do not educate their students on transgender health issues, this kind of inappropriate behavior happens too often. </w:t>
      </w:r>
      <w:r w:rsidR="004E390B">
        <w:rPr>
          <w:bCs/>
          <w:szCs w:val="24"/>
        </w:rPr>
        <w:t xml:space="preserve">In California, the </w:t>
      </w:r>
      <w:r w:rsidR="004E390B">
        <w:t>Unruh Civil Rights Act prohibits health care providers in public accommodations such as d</w:t>
      </w:r>
      <w:r w:rsidR="00454D73">
        <w:t xml:space="preserve">octor’s offices, hospitals, and </w:t>
      </w:r>
      <w:r w:rsidR="004E390B">
        <w:t>pharmacies from discriminating based on gender identity.</w:t>
      </w:r>
      <w:r w:rsidR="00C203D4">
        <w:t xml:space="preserve">  The Unruh Act also prohibits discrimination in non-traditional health care settings, such as chiropractors, acupuncturists, or physical therapy offices.</w:t>
      </w:r>
      <w:r w:rsidR="004E390B">
        <w:rPr>
          <w:rStyle w:val="FootnoteReference"/>
        </w:rPr>
        <w:footnoteReference w:id="2"/>
      </w:r>
      <w:r w:rsidR="00C203D4">
        <w:t xml:space="preserve">  </w:t>
      </w:r>
    </w:p>
    <w:p w:rsidR="004E390B" w:rsidRDefault="004E390B" w:rsidP="00392886">
      <w:pPr>
        <w:rPr>
          <w:bCs/>
          <w:szCs w:val="24"/>
        </w:rPr>
      </w:pPr>
    </w:p>
    <w:p w:rsidR="00392886" w:rsidRPr="00982E1D" w:rsidRDefault="00392886" w:rsidP="00392886">
      <w:pPr>
        <w:rPr>
          <w:bCs/>
          <w:szCs w:val="24"/>
        </w:rPr>
      </w:pPr>
      <w:r w:rsidRPr="00982E1D">
        <w:rPr>
          <w:bCs/>
          <w:szCs w:val="24"/>
        </w:rPr>
        <w:t>If you e</w:t>
      </w:r>
      <w:smartTag w:uri="urn:schemas-microsoft-com:office:smarttags" w:element="PersonName">
        <w:r w:rsidRPr="00982E1D">
          <w:rPr>
            <w:bCs/>
            <w:szCs w:val="24"/>
          </w:rPr>
          <w:t>x</w:t>
        </w:r>
      </w:smartTag>
      <w:r w:rsidRPr="00982E1D">
        <w:rPr>
          <w:bCs/>
          <w:szCs w:val="24"/>
        </w:rPr>
        <w:t>perience discrimination</w:t>
      </w:r>
      <w:r w:rsidR="004E390B">
        <w:rPr>
          <w:bCs/>
          <w:szCs w:val="24"/>
        </w:rPr>
        <w:t xml:space="preserve"> in a health care setting</w:t>
      </w:r>
      <w:r w:rsidR="00EE7CC6">
        <w:rPr>
          <w:bCs/>
          <w:szCs w:val="24"/>
        </w:rPr>
        <w:t>, you can contact Transgender Law Center</w:t>
      </w:r>
      <w:r w:rsidRPr="00982E1D">
        <w:rPr>
          <w:bCs/>
          <w:szCs w:val="24"/>
        </w:rPr>
        <w:t xml:space="preserve"> or you can contact one of the following agencies:</w:t>
      </w:r>
    </w:p>
    <w:p w:rsidR="00392886" w:rsidRDefault="00392886" w:rsidP="003938BE"/>
    <w:p w:rsidR="00392886" w:rsidRDefault="00392886" w:rsidP="00392886">
      <w:pPr>
        <w:rPr>
          <w:szCs w:val="24"/>
        </w:rPr>
      </w:pPr>
      <w:r w:rsidRPr="00982E1D">
        <w:rPr>
          <w:b/>
          <w:bCs/>
          <w:szCs w:val="24"/>
        </w:rPr>
        <w:t>The Department of Fair Employment and Housing</w:t>
      </w:r>
      <w:r w:rsidRPr="00982E1D">
        <w:rPr>
          <w:bCs/>
          <w:szCs w:val="24"/>
        </w:rPr>
        <w:t xml:space="preserve"> </w:t>
      </w:r>
      <w:r w:rsidRPr="004936B6">
        <w:rPr>
          <w:b/>
          <w:bCs/>
          <w:szCs w:val="24"/>
        </w:rPr>
        <w:t xml:space="preserve">(DFEH) </w:t>
      </w:r>
      <w:r w:rsidR="00EE7CC6">
        <w:rPr>
          <w:bCs/>
          <w:szCs w:val="24"/>
        </w:rPr>
        <w:t>is the California s</w:t>
      </w:r>
      <w:r w:rsidRPr="00982E1D">
        <w:rPr>
          <w:bCs/>
          <w:szCs w:val="24"/>
        </w:rPr>
        <w:t>tate agency that investigates complaints of discrimination, including discrimination in public accommodations</w:t>
      </w:r>
      <w:r>
        <w:rPr>
          <w:bCs/>
          <w:szCs w:val="24"/>
        </w:rPr>
        <w:t xml:space="preserve"> such as hospitals, a doctor’s office, or a medical clinic</w:t>
      </w:r>
      <w:r w:rsidR="00454D73">
        <w:rPr>
          <w:bCs/>
          <w:szCs w:val="24"/>
        </w:rPr>
        <w:t>. It</w:t>
      </w:r>
      <w:r w:rsidRPr="00982E1D">
        <w:rPr>
          <w:bCs/>
          <w:szCs w:val="24"/>
        </w:rPr>
        <w:t xml:space="preserve"> can be reached at </w:t>
      </w:r>
      <w:r>
        <w:rPr>
          <w:szCs w:val="24"/>
        </w:rPr>
        <w:t xml:space="preserve">(800) </w:t>
      </w:r>
      <w:r w:rsidRPr="00982E1D">
        <w:rPr>
          <w:szCs w:val="24"/>
        </w:rPr>
        <w:t>884-1684. You can find</w:t>
      </w:r>
      <w:r w:rsidR="00454D73">
        <w:rPr>
          <w:szCs w:val="24"/>
        </w:rPr>
        <w:t xml:space="preserve"> out more information about it</w:t>
      </w:r>
      <w:r w:rsidRPr="00982E1D">
        <w:rPr>
          <w:szCs w:val="24"/>
        </w:rPr>
        <w:t xml:space="preserve"> at </w:t>
      </w:r>
      <w:hyperlink r:id="rId8" w:history="1">
        <w:r w:rsidRPr="009D27F9">
          <w:rPr>
            <w:rStyle w:val="Hyperlink"/>
            <w:szCs w:val="24"/>
          </w:rPr>
          <w:t>www.dfeh.ca.gov</w:t>
        </w:r>
      </w:hyperlink>
      <w:r w:rsidRPr="00982E1D">
        <w:rPr>
          <w:szCs w:val="24"/>
        </w:rPr>
        <w:t>.</w:t>
      </w:r>
    </w:p>
    <w:p w:rsidR="00EA6038" w:rsidRDefault="00EA6038" w:rsidP="00392886">
      <w:pPr>
        <w:rPr>
          <w:szCs w:val="24"/>
        </w:rPr>
      </w:pPr>
    </w:p>
    <w:p w:rsidR="00931BEB" w:rsidRDefault="00931BEB" w:rsidP="00931BEB">
      <w:pPr>
        <w:pStyle w:val="Heading1"/>
        <w:spacing w:before="0" w:after="0"/>
        <w:rPr>
          <w:rFonts w:ascii="Times New Roman" w:hAnsi="Times New Roman" w:cs="Times New Roman"/>
          <w:b w:val="0"/>
          <w:bCs w:val="0"/>
          <w:sz w:val="24"/>
          <w:szCs w:val="24"/>
        </w:rPr>
      </w:pPr>
      <w:r w:rsidRPr="00982E1D">
        <w:rPr>
          <w:rFonts w:ascii="Times New Roman" w:hAnsi="Times New Roman" w:cs="Times New Roman"/>
          <w:bCs w:val="0"/>
          <w:sz w:val="24"/>
          <w:szCs w:val="24"/>
        </w:rPr>
        <w:t>The Medical Board of California</w:t>
      </w:r>
      <w:r w:rsidRPr="00982E1D">
        <w:rPr>
          <w:rFonts w:ascii="Times New Roman" w:hAnsi="Times New Roman" w:cs="Times New Roman"/>
          <w:b w:val="0"/>
          <w:bCs w:val="0"/>
          <w:sz w:val="24"/>
          <w:szCs w:val="24"/>
        </w:rPr>
        <w:t xml:space="preserve"> is the state agency that licenses and investigates misconduct </w:t>
      </w:r>
      <w:r w:rsidR="00B25F16">
        <w:rPr>
          <w:rFonts w:ascii="Times New Roman" w:hAnsi="Times New Roman" w:cs="Times New Roman"/>
          <w:b w:val="0"/>
          <w:bCs w:val="0"/>
          <w:sz w:val="24"/>
          <w:szCs w:val="24"/>
        </w:rPr>
        <w:t>by</w:t>
      </w:r>
      <w:r w:rsidRPr="00982E1D">
        <w:rPr>
          <w:rFonts w:ascii="Times New Roman" w:hAnsi="Times New Roman" w:cs="Times New Roman"/>
          <w:b w:val="0"/>
          <w:bCs w:val="0"/>
          <w:sz w:val="24"/>
          <w:szCs w:val="24"/>
        </w:rPr>
        <w:t xml:space="preserve"> a variety of health care professionals in California</w:t>
      </w:r>
      <w:r w:rsidR="00B25F16">
        <w:rPr>
          <w:rFonts w:ascii="Times New Roman" w:hAnsi="Times New Roman" w:cs="Times New Roman"/>
          <w:b w:val="0"/>
          <w:bCs w:val="0"/>
          <w:sz w:val="24"/>
          <w:szCs w:val="24"/>
        </w:rPr>
        <w:t>, including doctors</w:t>
      </w:r>
      <w:r w:rsidRPr="00982E1D">
        <w:rPr>
          <w:rFonts w:ascii="Times New Roman" w:hAnsi="Times New Roman" w:cs="Times New Roman"/>
          <w:b w:val="0"/>
          <w:bCs w:val="0"/>
          <w:sz w:val="24"/>
          <w:szCs w:val="24"/>
        </w:rPr>
        <w:t xml:space="preserve"> (see a list of which professionals at </w:t>
      </w:r>
      <w:hyperlink r:id="rId9" w:history="1">
        <w:r w:rsidRPr="004936B6">
          <w:rPr>
            <w:rStyle w:val="Hyperlink"/>
            <w:rFonts w:ascii="Times New Roman" w:hAnsi="Times New Roman" w:cs="Times New Roman"/>
            <w:b w:val="0"/>
            <w:sz w:val="24"/>
            <w:szCs w:val="24"/>
          </w:rPr>
          <w:t>www.medbd.ca.gov</w:t>
        </w:r>
      </w:hyperlink>
      <w:r w:rsidRPr="00982E1D">
        <w:rPr>
          <w:rFonts w:ascii="Times New Roman" w:hAnsi="Times New Roman" w:cs="Times New Roman"/>
          <w:b w:val="0"/>
          <w:bCs w:val="0"/>
          <w:sz w:val="24"/>
          <w:szCs w:val="24"/>
        </w:rPr>
        <w:t>). The Board can also accept discrimination complaints and will send an advisory letter to a professional when a complaint is fil</w:t>
      </w:r>
      <w:r>
        <w:rPr>
          <w:rFonts w:ascii="Times New Roman" w:hAnsi="Times New Roman" w:cs="Times New Roman"/>
          <w:b w:val="0"/>
          <w:bCs w:val="0"/>
          <w:sz w:val="24"/>
          <w:szCs w:val="24"/>
        </w:rPr>
        <w:t xml:space="preserve">ed. To file a complaint, call (800) </w:t>
      </w:r>
      <w:r w:rsidRPr="00982E1D">
        <w:rPr>
          <w:rFonts w:ascii="Times New Roman" w:hAnsi="Times New Roman" w:cs="Times New Roman"/>
          <w:b w:val="0"/>
          <w:bCs w:val="0"/>
          <w:sz w:val="24"/>
          <w:szCs w:val="24"/>
        </w:rPr>
        <w:t>633-2322.</w:t>
      </w:r>
    </w:p>
    <w:p w:rsidR="00D049A7" w:rsidRDefault="00D049A7" w:rsidP="00D049A7"/>
    <w:p w:rsidR="00D049A7" w:rsidRDefault="00D049A7" w:rsidP="00D049A7">
      <w:pPr>
        <w:rPr>
          <w:szCs w:val="24"/>
        </w:rPr>
      </w:pPr>
      <w:r w:rsidRPr="004936B6">
        <w:rPr>
          <w:b/>
          <w:szCs w:val="24"/>
        </w:rPr>
        <w:t>The California Department of Managed Care</w:t>
      </w:r>
      <w:r>
        <w:rPr>
          <w:szCs w:val="24"/>
        </w:rPr>
        <w:t xml:space="preserve"> </w:t>
      </w:r>
      <w:r w:rsidRPr="004936B6">
        <w:rPr>
          <w:szCs w:val="24"/>
        </w:rPr>
        <w:t>investigat</w:t>
      </w:r>
      <w:r>
        <w:rPr>
          <w:szCs w:val="24"/>
        </w:rPr>
        <w:t>es complaints of discrimination by physician</w:t>
      </w:r>
      <w:r w:rsidR="008453EA">
        <w:rPr>
          <w:szCs w:val="24"/>
        </w:rPr>
        <w:t>s</w:t>
      </w:r>
      <w:r>
        <w:rPr>
          <w:szCs w:val="24"/>
        </w:rPr>
        <w:t xml:space="preserve"> and facilities that are part of an HMO</w:t>
      </w:r>
      <w:r w:rsidRPr="004936B6">
        <w:rPr>
          <w:szCs w:val="24"/>
        </w:rPr>
        <w:t xml:space="preserve">. </w:t>
      </w:r>
      <w:r>
        <w:rPr>
          <w:szCs w:val="24"/>
        </w:rPr>
        <w:t>To learn more about the Department of Managed Care</w:t>
      </w:r>
      <w:r w:rsidRPr="004936B6">
        <w:rPr>
          <w:szCs w:val="24"/>
        </w:rPr>
        <w:t xml:space="preserve"> </w:t>
      </w:r>
      <w:r>
        <w:rPr>
          <w:szCs w:val="24"/>
        </w:rPr>
        <w:t xml:space="preserve">or to make a </w:t>
      </w:r>
      <w:r w:rsidRPr="004936B6">
        <w:rPr>
          <w:szCs w:val="24"/>
        </w:rPr>
        <w:t xml:space="preserve">complaint </w:t>
      </w:r>
      <w:r>
        <w:rPr>
          <w:szCs w:val="24"/>
        </w:rPr>
        <w:t>about an HMO health care provider of facility</w:t>
      </w:r>
      <w:r w:rsidRPr="004936B6">
        <w:rPr>
          <w:szCs w:val="24"/>
        </w:rPr>
        <w:t xml:space="preserve">, see: </w:t>
      </w:r>
      <w:hyperlink r:id="rId10" w:history="1">
        <w:r w:rsidRPr="009D27F9">
          <w:rPr>
            <w:rStyle w:val="Hyperlink"/>
            <w:szCs w:val="24"/>
          </w:rPr>
          <w:t>http://www.hmohelp.ca.gov</w:t>
        </w:r>
      </w:hyperlink>
      <w:r>
        <w:rPr>
          <w:szCs w:val="24"/>
        </w:rPr>
        <w:t xml:space="preserve"> </w:t>
      </w:r>
      <w:r w:rsidRPr="004936B6">
        <w:rPr>
          <w:szCs w:val="24"/>
        </w:rPr>
        <w:t>or call</w:t>
      </w:r>
      <w:r>
        <w:rPr>
          <w:szCs w:val="24"/>
        </w:rPr>
        <w:t xml:space="preserve"> </w:t>
      </w:r>
      <w:r w:rsidRPr="004936B6">
        <w:rPr>
          <w:szCs w:val="24"/>
        </w:rPr>
        <w:t>(888) 466-2219.</w:t>
      </w:r>
    </w:p>
    <w:p w:rsidR="00D049A7" w:rsidRPr="00D049A7" w:rsidRDefault="00D049A7" w:rsidP="00D049A7"/>
    <w:p w:rsidR="00EA6038" w:rsidRDefault="00EA6038" w:rsidP="00392886">
      <w:pPr>
        <w:rPr>
          <w:szCs w:val="24"/>
        </w:rPr>
      </w:pPr>
      <w:r w:rsidRPr="00EA6038">
        <w:rPr>
          <w:b/>
          <w:szCs w:val="24"/>
        </w:rPr>
        <w:t>The Joint Commission</w:t>
      </w:r>
      <w:r>
        <w:rPr>
          <w:szCs w:val="24"/>
        </w:rPr>
        <w:t xml:space="preserve"> accredits heath care organizations based on nationally-recognized standards of care, including non-discrimination policies.  To make a complaint about an accredited health care organization or institution, you can contact the Joint Commission at (800) 994-6610 or see: </w:t>
      </w:r>
      <w:hyperlink r:id="rId11" w:history="1">
        <w:r w:rsidRPr="00B40863">
          <w:rPr>
            <w:rStyle w:val="Hyperlink"/>
            <w:szCs w:val="24"/>
          </w:rPr>
          <w:t>http://www.jointcommission.org</w:t>
        </w:r>
      </w:hyperlink>
    </w:p>
    <w:p w:rsidR="00EA6038" w:rsidRDefault="00EA6038" w:rsidP="00392886">
      <w:pPr>
        <w:rPr>
          <w:szCs w:val="24"/>
        </w:rPr>
      </w:pPr>
    </w:p>
    <w:p w:rsidR="004E390B" w:rsidRDefault="004E390B" w:rsidP="004E390B">
      <w:pPr>
        <w:rPr>
          <w:szCs w:val="24"/>
        </w:rPr>
      </w:pPr>
      <w:r w:rsidRPr="005751FC">
        <w:rPr>
          <w:b/>
          <w:szCs w:val="24"/>
        </w:rPr>
        <w:t>The California Board of Registered Nursing</w:t>
      </w:r>
      <w:r>
        <w:rPr>
          <w:szCs w:val="24"/>
        </w:rPr>
        <w:t xml:space="preserve"> investigates </w:t>
      </w:r>
      <w:r w:rsidR="00454D73">
        <w:rPr>
          <w:szCs w:val="24"/>
        </w:rPr>
        <w:t xml:space="preserve">complaints of discrimination and </w:t>
      </w:r>
      <w:r>
        <w:rPr>
          <w:szCs w:val="24"/>
        </w:rPr>
        <w:t>misconduct by California registe</w:t>
      </w:r>
      <w:r w:rsidR="00454D73">
        <w:rPr>
          <w:szCs w:val="24"/>
        </w:rPr>
        <w:t>red nurses. To make a complaint call</w:t>
      </w:r>
      <w:r>
        <w:rPr>
          <w:szCs w:val="24"/>
        </w:rPr>
        <w:t xml:space="preserve"> (916) 322-3350 or see: </w:t>
      </w:r>
      <w:hyperlink r:id="rId12" w:history="1">
        <w:r w:rsidRPr="009D27F9">
          <w:rPr>
            <w:rStyle w:val="Hyperlink"/>
            <w:szCs w:val="24"/>
          </w:rPr>
          <w:t>http://www.rn.ca.gov</w:t>
        </w:r>
      </w:hyperlink>
    </w:p>
    <w:p w:rsidR="004E390B" w:rsidRDefault="004E390B" w:rsidP="004E390B">
      <w:pPr>
        <w:rPr>
          <w:szCs w:val="24"/>
        </w:rPr>
      </w:pPr>
    </w:p>
    <w:p w:rsidR="006A470B" w:rsidRDefault="004E390B" w:rsidP="00D049A7">
      <w:pPr>
        <w:rPr>
          <w:szCs w:val="24"/>
        </w:rPr>
      </w:pPr>
      <w:r w:rsidRPr="005751FC">
        <w:rPr>
          <w:b/>
          <w:szCs w:val="24"/>
        </w:rPr>
        <w:t>The California Board of</w:t>
      </w:r>
      <w:r>
        <w:rPr>
          <w:b/>
          <w:szCs w:val="24"/>
        </w:rPr>
        <w:t xml:space="preserve"> Pharmacy </w:t>
      </w:r>
      <w:r>
        <w:rPr>
          <w:szCs w:val="24"/>
        </w:rPr>
        <w:t xml:space="preserve">investigates complaints </w:t>
      </w:r>
      <w:r w:rsidR="00454D73">
        <w:rPr>
          <w:szCs w:val="24"/>
        </w:rPr>
        <w:t xml:space="preserve">of </w:t>
      </w:r>
      <w:r>
        <w:rPr>
          <w:szCs w:val="24"/>
        </w:rPr>
        <w:t>discrimination and misconduct by Ca</w:t>
      </w:r>
      <w:r w:rsidR="00454D73">
        <w:rPr>
          <w:szCs w:val="24"/>
        </w:rPr>
        <w:t xml:space="preserve">lifornia-licensed pharmacists. </w:t>
      </w:r>
      <w:r>
        <w:rPr>
          <w:szCs w:val="24"/>
        </w:rPr>
        <w:t xml:space="preserve">To make a complaint call (916) 574-7900 or see: </w:t>
      </w:r>
      <w:hyperlink r:id="rId13" w:history="1">
        <w:r w:rsidRPr="009D27F9">
          <w:rPr>
            <w:rStyle w:val="Hyperlink"/>
            <w:szCs w:val="24"/>
          </w:rPr>
          <w:t>http://www.pharmacy.ca/gov</w:t>
        </w:r>
      </w:hyperlink>
    </w:p>
    <w:p w:rsidR="00D049A7" w:rsidRDefault="00D049A7" w:rsidP="00D049A7">
      <w:pPr>
        <w:rPr>
          <w:szCs w:val="24"/>
        </w:rPr>
      </w:pPr>
    </w:p>
    <w:p w:rsidR="00982E1D" w:rsidRDefault="00982E1D" w:rsidP="006A470B">
      <w:pPr>
        <w:pStyle w:val="Heading1"/>
        <w:spacing w:before="0" w:after="0"/>
        <w:jc w:val="center"/>
        <w:rPr>
          <w:rFonts w:ascii="Times New Roman" w:hAnsi="Times New Roman" w:cs="Times New Roman"/>
          <w:sz w:val="24"/>
          <w:szCs w:val="24"/>
        </w:rPr>
      </w:pPr>
      <w:r w:rsidRPr="006A470B">
        <w:rPr>
          <w:rFonts w:ascii="Times New Roman" w:hAnsi="Times New Roman" w:cs="Times New Roman"/>
          <w:sz w:val="24"/>
          <w:szCs w:val="24"/>
          <w:u w:val="single"/>
        </w:rPr>
        <w:t>Discrimination in Private</w:t>
      </w:r>
      <w:r w:rsidRPr="006A470B">
        <w:rPr>
          <w:rFonts w:ascii="Times New Roman" w:hAnsi="Times New Roman" w:cs="Times New Roman"/>
          <w:color w:val="0000FF"/>
          <w:sz w:val="24"/>
          <w:szCs w:val="24"/>
          <w:u w:val="single"/>
        </w:rPr>
        <w:t xml:space="preserve"> </w:t>
      </w:r>
      <w:r w:rsidRPr="006A470B">
        <w:rPr>
          <w:rFonts w:ascii="Times New Roman" w:hAnsi="Times New Roman" w:cs="Times New Roman"/>
          <w:sz w:val="24"/>
          <w:szCs w:val="24"/>
          <w:u w:val="single"/>
        </w:rPr>
        <w:t>Health Insurance</w:t>
      </w:r>
      <w:r w:rsidRPr="00982E1D">
        <w:rPr>
          <w:rStyle w:val="FootnoteReference"/>
          <w:rFonts w:ascii="Times New Roman" w:hAnsi="Times New Roman" w:cs="Times New Roman"/>
          <w:sz w:val="24"/>
          <w:szCs w:val="24"/>
        </w:rPr>
        <w:footnoteReference w:id="3"/>
      </w:r>
    </w:p>
    <w:p w:rsidR="002B6313" w:rsidRPr="002B6313" w:rsidRDefault="002B6313" w:rsidP="002B6313"/>
    <w:p w:rsidR="00982E1D" w:rsidRDefault="00982E1D" w:rsidP="00982E1D">
      <w:pPr>
        <w:pStyle w:val="Heading1"/>
        <w:spacing w:before="0" w:after="0"/>
        <w:rPr>
          <w:rFonts w:ascii="Times New Roman" w:hAnsi="Times New Roman" w:cs="Times New Roman"/>
          <w:sz w:val="24"/>
          <w:szCs w:val="24"/>
        </w:rPr>
      </w:pPr>
      <w:r w:rsidRPr="00982E1D">
        <w:rPr>
          <w:rFonts w:ascii="Times New Roman" w:hAnsi="Times New Roman" w:cs="Times New Roman"/>
          <w:sz w:val="24"/>
          <w:szCs w:val="24"/>
        </w:rPr>
        <w:t>Denial of Coverage</w:t>
      </w:r>
    </w:p>
    <w:p w:rsidR="002B6313" w:rsidRPr="002B6313" w:rsidRDefault="002B6313" w:rsidP="002B6313"/>
    <w:p w:rsidR="00982E1D" w:rsidRDefault="00982E1D" w:rsidP="00982E1D">
      <w:pPr>
        <w:rPr>
          <w:szCs w:val="24"/>
        </w:rPr>
      </w:pPr>
      <w:r w:rsidRPr="00982E1D">
        <w:rPr>
          <w:szCs w:val="24"/>
        </w:rPr>
        <w:t>Many transgender people have their applications for health insurance denied when they disclose their</w:t>
      </w:r>
      <w:r w:rsidRPr="00982E1D">
        <w:rPr>
          <w:color w:val="0000FF"/>
          <w:szCs w:val="24"/>
        </w:rPr>
        <w:t xml:space="preserve"> </w:t>
      </w:r>
      <w:r w:rsidRPr="00982E1D">
        <w:rPr>
          <w:color w:val="000000"/>
          <w:szCs w:val="24"/>
        </w:rPr>
        <w:t>transgender status or transition</w:t>
      </w:r>
      <w:r w:rsidRPr="00982E1D">
        <w:rPr>
          <w:szCs w:val="24"/>
        </w:rPr>
        <w:t xml:space="preserve">-related medical history (such as hormone level tests) to a potential insurer. Such denial of coverage is most common when applying for a private individual plan, but could also happen when applying for employer-based and other group plans. If your application for coverage is denied on the basis </w:t>
      </w:r>
      <w:r w:rsidRPr="00982E1D">
        <w:rPr>
          <w:color w:val="000000"/>
          <w:szCs w:val="24"/>
        </w:rPr>
        <w:t>of your transition-related medical history or transgender status, you may have some lega</w:t>
      </w:r>
      <w:r w:rsidRPr="00982E1D">
        <w:rPr>
          <w:szCs w:val="24"/>
        </w:rPr>
        <w:t>l recourse. Depending on the reason given for the denial, you may be able to take action against the insurance company</w:t>
      </w:r>
      <w:r w:rsidR="006A470B">
        <w:rPr>
          <w:szCs w:val="24"/>
        </w:rPr>
        <w:t xml:space="preserve"> based upon the Insurance Gender Non-Discrimination Act of 2005</w:t>
      </w:r>
      <w:r w:rsidRPr="00982E1D">
        <w:rPr>
          <w:szCs w:val="24"/>
        </w:rPr>
        <w:t xml:space="preserve">. Contact </w:t>
      </w:r>
      <w:r w:rsidR="00EE7CC6">
        <w:rPr>
          <w:szCs w:val="24"/>
        </w:rPr>
        <w:t xml:space="preserve">the </w:t>
      </w:r>
      <w:r w:rsidR="00EE7CC6" w:rsidRPr="00EE7CC6">
        <w:rPr>
          <w:szCs w:val="24"/>
        </w:rPr>
        <w:t>Transgender Law Center</w:t>
      </w:r>
      <w:r w:rsidR="00EE7CC6" w:rsidRPr="00982E1D">
        <w:rPr>
          <w:szCs w:val="24"/>
        </w:rPr>
        <w:t xml:space="preserve"> </w:t>
      </w:r>
      <w:r w:rsidRPr="00982E1D">
        <w:rPr>
          <w:szCs w:val="24"/>
        </w:rPr>
        <w:t>for su</w:t>
      </w:r>
      <w:r>
        <w:rPr>
          <w:szCs w:val="24"/>
        </w:rPr>
        <w:t xml:space="preserve">ggestions on </w:t>
      </w:r>
      <w:r w:rsidR="006A470B">
        <w:rPr>
          <w:szCs w:val="24"/>
        </w:rPr>
        <w:t>appealing the decision or filing a complaint.</w:t>
      </w:r>
    </w:p>
    <w:p w:rsidR="00982E1D" w:rsidRPr="00982E1D" w:rsidRDefault="00982E1D" w:rsidP="00982E1D">
      <w:pPr>
        <w:rPr>
          <w:szCs w:val="24"/>
        </w:rPr>
      </w:pPr>
    </w:p>
    <w:p w:rsidR="00982E1D" w:rsidRDefault="00982E1D" w:rsidP="00982E1D">
      <w:pPr>
        <w:pStyle w:val="Heading1"/>
        <w:spacing w:before="0" w:after="0"/>
        <w:rPr>
          <w:rFonts w:ascii="Times New Roman" w:hAnsi="Times New Roman" w:cs="Times New Roman"/>
          <w:sz w:val="24"/>
          <w:szCs w:val="24"/>
        </w:rPr>
      </w:pPr>
      <w:r w:rsidRPr="00982E1D">
        <w:rPr>
          <w:rFonts w:ascii="Times New Roman" w:hAnsi="Times New Roman" w:cs="Times New Roman"/>
          <w:sz w:val="24"/>
          <w:szCs w:val="24"/>
        </w:rPr>
        <w:t>Treatment E</w:t>
      </w:r>
      <w:smartTag w:uri="urn:schemas-microsoft-com:office:smarttags" w:element="PersonName">
        <w:r w:rsidRPr="00982E1D">
          <w:rPr>
            <w:rFonts w:ascii="Times New Roman" w:hAnsi="Times New Roman" w:cs="Times New Roman"/>
            <w:sz w:val="24"/>
            <w:szCs w:val="24"/>
          </w:rPr>
          <w:t>x</w:t>
        </w:r>
      </w:smartTag>
      <w:r w:rsidRPr="00982E1D">
        <w:rPr>
          <w:rFonts w:ascii="Times New Roman" w:hAnsi="Times New Roman" w:cs="Times New Roman"/>
          <w:sz w:val="24"/>
          <w:szCs w:val="24"/>
        </w:rPr>
        <w:t>clusion for Transgender-Related Care and Services</w:t>
      </w:r>
    </w:p>
    <w:p w:rsidR="002B6313" w:rsidRPr="002B6313" w:rsidRDefault="002B6313" w:rsidP="002B6313"/>
    <w:p w:rsidR="00982E1D" w:rsidRPr="00982E1D" w:rsidRDefault="00982E1D" w:rsidP="00982E1D">
      <w:pPr>
        <w:rPr>
          <w:szCs w:val="24"/>
        </w:rPr>
      </w:pPr>
      <w:r w:rsidRPr="00982E1D">
        <w:rPr>
          <w:szCs w:val="24"/>
        </w:rPr>
        <w:t>Most health insurance policies still specifically e</w:t>
      </w:r>
      <w:smartTag w:uri="urn:schemas-microsoft-com:office:smarttags" w:element="PersonName">
        <w:r w:rsidRPr="00982E1D">
          <w:rPr>
            <w:szCs w:val="24"/>
          </w:rPr>
          <w:t>x</w:t>
        </w:r>
      </w:smartTag>
      <w:r w:rsidRPr="00982E1D">
        <w:rPr>
          <w:szCs w:val="24"/>
        </w:rPr>
        <w:t>clude transgender-related care and services. This often means that you will not be covered for procedures like: hormone therapy, transition-related surgery, and/or gender identity-related mental health services. While the legality of such e</w:t>
      </w:r>
      <w:smartTag w:uri="urn:schemas-microsoft-com:office:smarttags" w:element="PersonName">
        <w:r w:rsidRPr="00982E1D">
          <w:rPr>
            <w:szCs w:val="24"/>
          </w:rPr>
          <w:t>x</w:t>
        </w:r>
      </w:smartTag>
      <w:r w:rsidRPr="00982E1D">
        <w:rPr>
          <w:szCs w:val="24"/>
        </w:rPr>
        <w:t>clusions is not yet clear, you do have options other than filing a lawsuit. If you are denied coverage under one of these e</w:t>
      </w:r>
      <w:smartTag w:uri="urn:schemas-microsoft-com:office:smarttags" w:element="PersonName">
        <w:r w:rsidRPr="00982E1D">
          <w:rPr>
            <w:szCs w:val="24"/>
          </w:rPr>
          <w:t>x</w:t>
        </w:r>
      </w:smartTag>
      <w:r w:rsidRPr="00982E1D">
        <w:rPr>
          <w:szCs w:val="24"/>
        </w:rPr>
        <w:t xml:space="preserve">clusions, you should file a timely appeal with your insurance company. Filing such an appeal can be time-consuming, but it generally costs little, if any, money. Even if you do not prevail, the information you provide about the medical necessity of the procedures you have requested helps educate the insurer about transgender health issues, thus advancing transgender access to health care. </w:t>
      </w:r>
      <w:r w:rsidR="00EE7CC6">
        <w:rPr>
          <w:szCs w:val="24"/>
        </w:rPr>
        <w:t xml:space="preserve">The </w:t>
      </w:r>
      <w:r w:rsidR="00EE7CC6" w:rsidRPr="00EE7CC6">
        <w:rPr>
          <w:szCs w:val="24"/>
        </w:rPr>
        <w:t>Transgender Law Center</w:t>
      </w:r>
      <w:r w:rsidRPr="00982E1D">
        <w:rPr>
          <w:szCs w:val="24"/>
        </w:rPr>
        <w:t xml:space="preserve"> can give you some suggestions on how to file a comprehensive appeal.</w:t>
      </w:r>
    </w:p>
    <w:p w:rsidR="00982E1D" w:rsidRPr="00982E1D" w:rsidRDefault="00982E1D" w:rsidP="00982E1D">
      <w:pPr>
        <w:rPr>
          <w:szCs w:val="24"/>
        </w:rPr>
      </w:pPr>
    </w:p>
    <w:p w:rsidR="00982E1D" w:rsidRPr="00982E1D" w:rsidRDefault="00982E1D" w:rsidP="00982E1D">
      <w:pPr>
        <w:rPr>
          <w:szCs w:val="24"/>
        </w:rPr>
      </w:pPr>
      <w:r w:rsidRPr="00982E1D">
        <w:rPr>
          <w:szCs w:val="24"/>
        </w:rPr>
        <w:t>If transgender-related care and services are not specifically e</w:t>
      </w:r>
      <w:smartTag w:uri="urn:schemas-microsoft-com:office:smarttags" w:element="PersonName">
        <w:r w:rsidRPr="00982E1D">
          <w:rPr>
            <w:szCs w:val="24"/>
          </w:rPr>
          <w:t>x</w:t>
        </w:r>
      </w:smartTag>
      <w:r w:rsidRPr="00982E1D">
        <w:rPr>
          <w:szCs w:val="24"/>
        </w:rPr>
        <w:t>cluded in your policy, your insurance company might still deny the claim on the basis that these procedures are considered cosmetic or e</w:t>
      </w:r>
      <w:smartTag w:uri="urn:schemas-microsoft-com:office:smarttags" w:element="PersonName">
        <w:r w:rsidRPr="00982E1D">
          <w:rPr>
            <w:szCs w:val="24"/>
          </w:rPr>
          <w:t>x</w:t>
        </w:r>
      </w:smartTag>
      <w:r w:rsidRPr="00982E1D">
        <w:rPr>
          <w:szCs w:val="24"/>
        </w:rPr>
        <w:t>perimental. However, in deciding cases related to Medi-Cal, California courts have determined that transition-related procedures are neither cosmetic nor e</w:t>
      </w:r>
      <w:smartTag w:uri="urn:schemas-microsoft-com:office:smarttags" w:element="PersonName">
        <w:r w:rsidRPr="00982E1D">
          <w:rPr>
            <w:szCs w:val="24"/>
          </w:rPr>
          <w:t>x</w:t>
        </w:r>
      </w:smartTag>
      <w:r w:rsidRPr="00982E1D">
        <w:rPr>
          <w:szCs w:val="24"/>
        </w:rPr>
        <w:t xml:space="preserve">perimental. </w:t>
      </w:r>
      <w:r w:rsidR="006A470B">
        <w:rPr>
          <w:szCs w:val="24"/>
        </w:rPr>
        <w:t xml:space="preserve">The American Medical Association and other organizations have also taken the position that transition-related care is medically necessary and not cosmetic. </w:t>
      </w:r>
      <w:r w:rsidRPr="00982E1D">
        <w:rPr>
          <w:szCs w:val="24"/>
        </w:rPr>
        <w:t xml:space="preserve">If your insurance company has </w:t>
      </w:r>
      <w:r w:rsidR="006A470B">
        <w:rPr>
          <w:szCs w:val="24"/>
        </w:rPr>
        <w:t>denied</w:t>
      </w:r>
      <w:r w:rsidRPr="00982E1D">
        <w:rPr>
          <w:szCs w:val="24"/>
        </w:rPr>
        <w:t xml:space="preserve"> </w:t>
      </w:r>
      <w:r w:rsidR="006A470B">
        <w:rPr>
          <w:szCs w:val="24"/>
        </w:rPr>
        <w:t xml:space="preserve">you </w:t>
      </w:r>
      <w:r w:rsidRPr="00982E1D">
        <w:rPr>
          <w:szCs w:val="24"/>
        </w:rPr>
        <w:t>coverage</w:t>
      </w:r>
      <w:r w:rsidR="006A470B">
        <w:rPr>
          <w:szCs w:val="24"/>
        </w:rPr>
        <w:t xml:space="preserve"> for transition-related care by d</w:t>
      </w:r>
      <w:r w:rsidR="00982946">
        <w:rPr>
          <w:szCs w:val="24"/>
        </w:rPr>
        <w:t>esignating it as cosmetic or experimental</w:t>
      </w:r>
      <w:r w:rsidRPr="00982E1D">
        <w:rPr>
          <w:szCs w:val="24"/>
        </w:rPr>
        <w:t xml:space="preserve">, </w:t>
      </w:r>
      <w:r w:rsidR="00982946">
        <w:rPr>
          <w:szCs w:val="24"/>
        </w:rPr>
        <w:t xml:space="preserve">you can </w:t>
      </w:r>
      <w:r w:rsidR="00EE7CC6">
        <w:rPr>
          <w:szCs w:val="24"/>
        </w:rPr>
        <w:t xml:space="preserve">contact the </w:t>
      </w:r>
      <w:r w:rsidR="00EE7CC6" w:rsidRPr="00EE7CC6">
        <w:rPr>
          <w:szCs w:val="24"/>
        </w:rPr>
        <w:t>Transgender Law Center</w:t>
      </w:r>
      <w:r w:rsidRPr="00982E1D">
        <w:rPr>
          <w:szCs w:val="24"/>
        </w:rPr>
        <w:t xml:space="preserve"> </w:t>
      </w:r>
      <w:r w:rsidR="00982946">
        <w:rPr>
          <w:szCs w:val="24"/>
        </w:rPr>
        <w:t xml:space="preserve">for information </w:t>
      </w:r>
      <w:r w:rsidRPr="00982E1D">
        <w:rPr>
          <w:szCs w:val="24"/>
        </w:rPr>
        <w:t>about appealing the decision.</w:t>
      </w:r>
    </w:p>
    <w:p w:rsidR="00982E1D" w:rsidRPr="00982E1D" w:rsidRDefault="00982E1D" w:rsidP="00982E1D">
      <w:pPr>
        <w:rPr>
          <w:szCs w:val="24"/>
        </w:rPr>
      </w:pPr>
      <w:r w:rsidRPr="00982E1D">
        <w:rPr>
          <w:szCs w:val="24"/>
        </w:rPr>
        <w:t xml:space="preserve"> </w:t>
      </w:r>
    </w:p>
    <w:p w:rsidR="008453EA" w:rsidRDefault="008453EA" w:rsidP="00982E1D">
      <w:pPr>
        <w:pStyle w:val="Heading1"/>
        <w:spacing w:before="0" w:after="0"/>
        <w:rPr>
          <w:rFonts w:ascii="Times New Roman" w:hAnsi="Times New Roman" w:cs="Times New Roman"/>
          <w:sz w:val="24"/>
          <w:szCs w:val="24"/>
        </w:rPr>
      </w:pPr>
    </w:p>
    <w:p w:rsidR="008453EA" w:rsidRDefault="008453EA" w:rsidP="00982E1D">
      <w:pPr>
        <w:pStyle w:val="Heading1"/>
        <w:spacing w:before="0" w:after="0"/>
        <w:rPr>
          <w:rFonts w:ascii="Times New Roman" w:hAnsi="Times New Roman" w:cs="Times New Roman"/>
          <w:sz w:val="24"/>
          <w:szCs w:val="24"/>
        </w:rPr>
      </w:pPr>
    </w:p>
    <w:p w:rsidR="00982E1D" w:rsidRDefault="00982E1D" w:rsidP="00982E1D">
      <w:pPr>
        <w:pStyle w:val="Heading1"/>
        <w:spacing w:before="0" w:after="0"/>
        <w:rPr>
          <w:rFonts w:ascii="Times New Roman" w:hAnsi="Times New Roman" w:cs="Times New Roman"/>
          <w:sz w:val="24"/>
          <w:szCs w:val="24"/>
        </w:rPr>
      </w:pPr>
      <w:r w:rsidRPr="00982E1D">
        <w:rPr>
          <w:rFonts w:ascii="Times New Roman" w:hAnsi="Times New Roman" w:cs="Times New Roman"/>
          <w:sz w:val="24"/>
          <w:szCs w:val="24"/>
        </w:rPr>
        <w:t>Treatment E</w:t>
      </w:r>
      <w:smartTag w:uri="urn:schemas-microsoft-com:office:smarttags" w:element="PersonName">
        <w:r w:rsidRPr="00982E1D">
          <w:rPr>
            <w:rFonts w:ascii="Times New Roman" w:hAnsi="Times New Roman" w:cs="Times New Roman"/>
            <w:sz w:val="24"/>
            <w:szCs w:val="24"/>
          </w:rPr>
          <w:t>x</w:t>
        </w:r>
      </w:smartTag>
      <w:r w:rsidRPr="00982E1D">
        <w:rPr>
          <w:rFonts w:ascii="Times New Roman" w:hAnsi="Times New Roman" w:cs="Times New Roman"/>
          <w:sz w:val="24"/>
          <w:szCs w:val="24"/>
        </w:rPr>
        <w:t>clusion for Non-Transgender Services</w:t>
      </w:r>
    </w:p>
    <w:p w:rsidR="002B6313" w:rsidRPr="002B6313" w:rsidRDefault="002B6313" w:rsidP="002B6313"/>
    <w:p w:rsidR="00982E1D" w:rsidRPr="00982E1D" w:rsidRDefault="00982E1D" w:rsidP="00982E1D">
      <w:pPr>
        <w:rPr>
          <w:szCs w:val="24"/>
        </w:rPr>
      </w:pPr>
      <w:r w:rsidRPr="00982E1D">
        <w:rPr>
          <w:szCs w:val="24"/>
        </w:rPr>
        <w:t>Unfortunately, some insurance companies broadly interpret language e</w:t>
      </w:r>
      <w:smartTag w:uri="urn:schemas-microsoft-com:office:smarttags" w:element="PersonName">
        <w:r w:rsidRPr="00982E1D">
          <w:rPr>
            <w:szCs w:val="24"/>
          </w:rPr>
          <w:t>x</w:t>
        </w:r>
      </w:smartTag>
      <w:r w:rsidRPr="00982E1D">
        <w:rPr>
          <w:szCs w:val="24"/>
        </w:rPr>
        <w:t>cluding transgender-related care and services to deny coverage for non-transition-related procedures for transgender individuals. Insurers justify these e</w:t>
      </w:r>
      <w:smartTag w:uri="urn:schemas-microsoft-com:office:smarttags" w:element="PersonName">
        <w:r w:rsidRPr="00982E1D">
          <w:rPr>
            <w:szCs w:val="24"/>
          </w:rPr>
          <w:t>x</w:t>
        </w:r>
      </w:smartTag>
      <w:r w:rsidRPr="00982E1D">
        <w:rPr>
          <w:szCs w:val="24"/>
        </w:rPr>
        <w:t>clusions by stating that your current medical problem is somehow related to your transition. For e</w:t>
      </w:r>
      <w:smartTag w:uri="urn:schemas-microsoft-com:office:smarttags" w:element="PersonName">
        <w:r w:rsidRPr="00982E1D">
          <w:rPr>
            <w:szCs w:val="24"/>
          </w:rPr>
          <w:t>x</w:t>
        </w:r>
      </w:smartTag>
      <w:r w:rsidRPr="00982E1D">
        <w:rPr>
          <w:szCs w:val="24"/>
        </w:rPr>
        <w:t>ample, the insurer might argue (often times without any proof) that liver damage or blood clotting results from hormone therapy. Or, they may refuse to cover e</w:t>
      </w:r>
      <w:smartTag w:uri="urn:schemas-microsoft-com:office:smarttags" w:element="PersonName">
        <w:r w:rsidRPr="00982E1D">
          <w:rPr>
            <w:szCs w:val="24"/>
          </w:rPr>
          <w:t>x</w:t>
        </w:r>
      </w:smartTag>
      <w:r w:rsidRPr="00982E1D">
        <w:rPr>
          <w:szCs w:val="24"/>
        </w:rPr>
        <w:t>penses related to a defective breast implant on the basis that the implant was “elective surgery.” While the law is unclear in this area, such a denial is likely a violation of your policy. If your insurance company has used this e</w:t>
      </w:r>
      <w:smartTag w:uri="urn:schemas-microsoft-com:office:smarttags" w:element="PersonName">
        <w:r w:rsidRPr="00982E1D">
          <w:rPr>
            <w:szCs w:val="24"/>
          </w:rPr>
          <w:t>x</w:t>
        </w:r>
      </w:smartTag>
      <w:r w:rsidRPr="00982E1D">
        <w:rPr>
          <w:szCs w:val="24"/>
        </w:rPr>
        <w:t xml:space="preserve">planation to justify denial of coverage, contact </w:t>
      </w:r>
      <w:r w:rsidR="00EE7CC6">
        <w:rPr>
          <w:szCs w:val="24"/>
        </w:rPr>
        <w:t xml:space="preserve">the </w:t>
      </w:r>
      <w:r w:rsidR="00EE7CC6" w:rsidRPr="00EE7CC6">
        <w:rPr>
          <w:szCs w:val="24"/>
        </w:rPr>
        <w:t>Transgender Law Center</w:t>
      </w:r>
      <w:r w:rsidRPr="00982E1D">
        <w:rPr>
          <w:szCs w:val="24"/>
        </w:rPr>
        <w:t xml:space="preserve"> about appealing the decision.</w:t>
      </w:r>
    </w:p>
    <w:p w:rsidR="00982E1D" w:rsidRPr="00982E1D" w:rsidRDefault="00982E1D" w:rsidP="00982E1D">
      <w:pPr>
        <w:rPr>
          <w:szCs w:val="24"/>
        </w:rPr>
      </w:pPr>
    </w:p>
    <w:p w:rsidR="00982E1D" w:rsidRDefault="00982E1D" w:rsidP="00982E1D">
      <w:pPr>
        <w:pStyle w:val="Heading1"/>
        <w:spacing w:before="0" w:after="0"/>
        <w:rPr>
          <w:rFonts w:ascii="Times New Roman" w:hAnsi="Times New Roman" w:cs="Times New Roman"/>
          <w:sz w:val="24"/>
          <w:szCs w:val="24"/>
        </w:rPr>
      </w:pPr>
      <w:r w:rsidRPr="00982E1D">
        <w:rPr>
          <w:rFonts w:ascii="Times New Roman" w:hAnsi="Times New Roman" w:cs="Times New Roman"/>
          <w:sz w:val="24"/>
          <w:szCs w:val="24"/>
        </w:rPr>
        <w:t>Treatment E</w:t>
      </w:r>
      <w:smartTag w:uri="urn:schemas-microsoft-com:office:smarttags" w:element="PersonName">
        <w:r w:rsidRPr="00982E1D">
          <w:rPr>
            <w:rFonts w:ascii="Times New Roman" w:hAnsi="Times New Roman" w:cs="Times New Roman"/>
            <w:sz w:val="24"/>
            <w:szCs w:val="24"/>
          </w:rPr>
          <w:t>x</w:t>
        </w:r>
      </w:smartTag>
      <w:r w:rsidRPr="00982E1D">
        <w:rPr>
          <w:rFonts w:ascii="Times New Roman" w:hAnsi="Times New Roman" w:cs="Times New Roman"/>
          <w:sz w:val="24"/>
          <w:szCs w:val="24"/>
        </w:rPr>
        <w:t>clusion for “Gender-Specific” Services</w:t>
      </w:r>
    </w:p>
    <w:p w:rsidR="002B6313" w:rsidRPr="002B6313" w:rsidRDefault="002B6313" w:rsidP="002B6313"/>
    <w:p w:rsidR="00982E1D" w:rsidRPr="00982E1D" w:rsidRDefault="00982E1D" w:rsidP="00982E1D">
      <w:pPr>
        <w:rPr>
          <w:color w:val="008000"/>
          <w:szCs w:val="24"/>
        </w:rPr>
      </w:pPr>
      <w:r w:rsidRPr="00982E1D">
        <w:rPr>
          <w:color w:val="000000"/>
          <w:szCs w:val="24"/>
        </w:rPr>
        <w:t xml:space="preserve">Because the </w:t>
      </w:r>
      <w:smartTag w:uri="urn:schemas-microsoft-com:office:smarttags" w:element="country-region">
        <w:smartTag w:uri="urn:schemas-microsoft-com:office:smarttags" w:element="place">
          <w:r w:rsidRPr="00982E1D">
            <w:rPr>
              <w:color w:val="000000"/>
              <w:szCs w:val="24"/>
            </w:rPr>
            <w:t>U.S.</w:t>
          </w:r>
        </w:smartTag>
      </w:smartTag>
      <w:r w:rsidRPr="00982E1D">
        <w:rPr>
          <w:color w:val="000000"/>
          <w:szCs w:val="24"/>
        </w:rPr>
        <w:t xml:space="preserve"> health care system largely overlooks the needs of transgender people, certain health care services are believed to be acce</w:t>
      </w:r>
      <w:r w:rsidRPr="00982E1D">
        <w:rPr>
          <w:szCs w:val="24"/>
        </w:rPr>
        <w:t>ssed only by men and other services only by women. This system of binary gender designation can be problematic for transgender health care recipients. Sometimes, transgender patients will have trouble scheduling certain appointments (such as an FTM getting a gynecological appointment) or making sure that they receive thorough e</w:t>
      </w:r>
      <w:smartTag w:uri="urn:schemas-microsoft-com:office:smarttags" w:element="PersonName">
        <w:r w:rsidRPr="00982E1D">
          <w:rPr>
            <w:szCs w:val="24"/>
          </w:rPr>
          <w:t>x</w:t>
        </w:r>
      </w:smartTag>
      <w:r w:rsidRPr="00982E1D">
        <w:rPr>
          <w:szCs w:val="24"/>
        </w:rPr>
        <w:t>aminations (such as an MTF</w:t>
      </w:r>
      <w:r w:rsidRPr="00982E1D">
        <w:rPr>
          <w:color w:val="008000"/>
          <w:szCs w:val="24"/>
        </w:rPr>
        <w:t xml:space="preserve"> </w:t>
      </w:r>
      <w:r w:rsidRPr="00982E1D">
        <w:rPr>
          <w:szCs w:val="24"/>
        </w:rPr>
        <w:t>having to remind her primary care physician to test her for prostate cancer).</w:t>
      </w:r>
      <w:r w:rsidRPr="00982E1D">
        <w:rPr>
          <w:color w:val="008000"/>
          <w:szCs w:val="24"/>
        </w:rPr>
        <w:t xml:space="preserve"> </w:t>
      </w:r>
    </w:p>
    <w:p w:rsidR="00982E1D" w:rsidRPr="00982E1D" w:rsidRDefault="00982E1D" w:rsidP="00982E1D">
      <w:pPr>
        <w:rPr>
          <w:color w:val="008000"/>
          <w:szCs w:val="24"/>
        </w:rPr>
      </w:pPr>
    </w:p>
    <w:p w:rsidR="00982E1D" w:rsidRPr="00982E1D" w:rsidRDefault="00982E1D" w:rsidP="00982E1D">
      <w:pPr>
        <w:rPr>
          <w:szCs w:val="24"/>
        </w:rPr>
      </w:pPr>
      <w:r w:rsidRPr="00982E1D">
        <w:rPr>
          <w:szCs w:val="24"/>
        </w:rPr>
        <w:t>And all too often, transgender people are</w:t>
      </w:r>
      <w:r w:rsidRPr="00982E1D">
        <w:rPr>
          <w:color w:val="008000"/>
          <w:szCs w:val="24"/>
        </w:rPr>
        <w:t xml:space="preserve"> </w:t>
      </w:r>
      <w:r w:rsidRPr="00982E1D">
        <w:rPr>
          <w:szCs w:val="24"/>
        </w:rPr>
        <w:t>denied coverage for medically necessary procedures because their documented gender does not correspond to the “gender-specific” service. Female-to-male transgender people, in particular, may have difficulty obtaining gynecological services or treatment for gynecological cancers. If you e</w:t>
      </w:r>
      <w:smartTag w:uri="urn:schemas-microsoft-com:office:smarttags" w:element="PersonName">
        <w:r w:rsidRPr="00982E1D">
          <w:rPr>
            <w:szCs w:val="24"/>
          </w:rPr>
          <w:t>x</w:t>
        </w:r>
      </w:smartTag>
      <w:r w:rsidRPr="00982E1D">
        <w:rPr>
          <w:szCs w:val="24"/>
        </w:rPr>
        <w:t xml:space="preserve">perience a denial of this sort, you should not hesitate to appeal it. Contact </w:t>
      </w:r>
      <w:r w:rsidR="00EE7CC6" w:rsidRPr="00EE7CC6">
        <w:rPr>
          <w:szCs w:val="24"/>
        </w:rPr>
        <w:t>Transgender Law Center</w:t>
      </w:r>
      <w:r w:rsidR="00EE7CC6" w:rsidRPr="00982E1D">
        <w:rPr>
          <w:szCs w:val="24"/>
        </w:rPr>
        <w:t xml:space="preserve"> </w:t>
      </w:r>
      <w:r w:rsidRPr="00982E1D">
        <w:rPr>
          <w:szCs w:val="24"/>
        </w:rPr>
        <w:t xml:space="preserve">if you would like assistance preparing your appeal. </w:t>
      </w:r>
    </w:p>
    <w:p w:rsidR="00982E1D" w:rsidRPr="00982E1D" w:rsidRDefault="00982E1D" w:rsidP="00982E1D">
      <w:pPr>
        <w:rPr>
          <w:szCs w:val="24"/>
        </w:rPr>
      </w:pPr>
    </w:p>
    <w:p w:rsidR="00982E1D" w:rsidRDefault="00982E1D" w:rsidP="00982E1D">
      <w:pPr>
        <w:rPr>
          <w:b/>
          <w:bCs/>
          <w:szCs w:val="24"/>
        </w:rPr>
      </w:pPr>
      <w:r w:rsidRPr="00982E1D">
        <w:rPr>
          <w:b/>
          <w:bCs/>
          <w:szCs w:val="24"/>
        </w:rPr>
        <w:t>Should I Change My Gender Marker on My Current Insurance?</w:t>
      </w:r>
    </w:p>
    <w:p w:rsidR="002B6313" w:rsidRPr="00982E1D" w:rsidRDefault="002B6313" w:rsidP="00982E1D">
      <w:pPr>
        <w:rPr>
          <w:b/>
          <w:bCs/>
          <w:szCs w:val="24"/>
        </w:rPr>
      </w:pPr>
    </w:p>
    <w:p w:rsidR="00982E1D" w:rsidRPr="00982E1D" w:rsidRDefault="00982946" w:rsidP="00982E1D">
      <w:pPr>
        <w:rPr>
          <w:szCs w:val="24"/>
        </w:rPr>
      </w:pPr>
      <w:r>
        <w:rPr>
          <w:szCs w:val="24"/>
        </w:rPr>
        <w:t xml:space="preserve">Because of </w:t>
      </w:r>
      <w:r w:rsidR="00982E1D" w:rsidRPr="00982E1D">
        <w:rPr>
          <w:szCs w:val="24"/>
        </w:rPr>
        <w:t>problems</w:t>
      </w:r>
      <w:r>
        <w:rPr>
          <w:szCs w:val="24"/>
        </w:rPr>
        <w:t xml:space="preserve"> accessing “gender specific” care</w:t>
      </w:r>
      <w:r w:rsidR="00982E1D" w:rsidRPr="00982E1D">
        <w:rPr>
          <w:szCs w:val="24"/>
        </w:rPr>
        <w:t xml:space="preserve">, many transgender people are rightfully concerned about changing the gender marker in their medical records to reflect their gender identity. Changing the gender marker on your insurance is likely to alert the insurance company that you are transgender, and could possibly jeopardize your benefits. We urge you to contact </w:t>
      </w:r>
      <w:r w:rsidR="00EE7CC6" w:rsidRPr="00EE7CC6">
        <w:rPr>
          <w:szCs w:val="24"/>
        </w:rPr>
        <w:t>Transgender Law Center</w:t>
      </w:r>
      <w:r w:rsidR="00EE7CC6" w:rsidRPr="00982E1D">
        <w:rPr>
          <w:szCs w:val="24"/>
        </w:rPr>
        <w:t xml:space="preserve"> </w:t>
      </w:r>
      <w:r w:rsidR="00982E1D" w:rsidRPr="00982E1D">
        <w:rPr>
          <w:szCs w:val="24"/>
        </w:rPr>
        <w:t xml:space="preserve">before doing so. </w:t>
      </w:r>
    </w:p>
    <w:p w:rsidR="00982E1D" w:rsidRPr="00982E1D" w:rsidRDefault="00982E1D" w:rsidP="00982E1D">
      <w:pPr>
        <w:rPr>
          <w:szCs w:val="24"/>
        </w:rPr>
      </w:pPr>
    </w:p>
    <w:p w:rsidR="00982E1D" w:rsidRDefault="00982E1D" w:rsidP="00982E1D">
      <w:pPr>
        <w:rPr>
          <w:b/>
          <w:bCs/>
          <w:szCs w:val="24"/>
        </w:rPr>
      </w:pPr>
      <w:r w:rsidRPr="00982E1D">
        <w:rPr>
          <w:b/>
          <w:bCs/>
          <w:szCs w:val="24"/>
        </w:rPr>
        <w:t>Which Gender Marker Should I Use When I Sign Up With A New Insurer?</w:t>
      </w:r>
    </w:p>
    <w:p w:rsidR="002B6313" w:rsidRPr="00982E1D" w:rsidRDefault="002B6313" w:rsidP="00982E1D">
      <w:pPr>
        <w:rPr>
          <w:b/>
          <w:bCs/>
          <w:szCs w:val="24"/>
        </w:rPr>
      </w:pPr>
    </w:p>
    <w:p w:rsidR="00982E1D" w:rsidRDefault="00982E1D" w:rsidP="00982E1D">
      <w:pPr>
        <w:rPr>
          <w:szCs w:val="24"/>
        </w:rPr>
      </w:pPr>
      <w:r w:rsidRPr="00982E1D">
        <w:rPr>
          <w:szCs w:val="24"/>
        </w:rPr>
        <w:t xml:space="preserve">The unfortunate reality is that regardless of what your gender marker is in your health records, it is possible that you will face denial for </w:t>
      </w:r>
      <w:r w:rsidR="00931BEB">
        <w:rPr>
          <w:szCs w:val="24"/>
        </w:rPr>
        <w:t>“</w:t>
      </w:r>
      <w:r w:rsidRPr="00982E1D">
        <w:rPr>
          <w:szCs w:val="24"/>
        </w:rPr>
        <w:t>gender-specific</w:t>
      </w:r>
      <w:r w:rsidR="00931BEB">
        <w:rPr>
          <w:szCs w:val="24"/>
        </w:rPr>
        <w:t>”</w:t>
      </w:r>
      <w:r w:rsidRPr="00982E1D">
        <w:rPr>
          <w:szCs w:val="24"/>
        </w:rPr>
        <w:t xml:space="preserve"> procedures. FTMs who list their gender as male may have no trouble receiving testosterone, but may not be able to access gynecological services, or vice versa. Similarly, MTFs who designate female in their medical records may </w:t>
      </w:r>
      <w:r w:rsidRPr="00982E1D">
        <w:rPr>
          <w:szCs w:val="24"/>
        </w:rPr>
        <w:lastRenderedPageBreak/>
        <w:t xml:space="preserve">access female hormones but not care for prostate or testicular cancer. If you want to discuss what avenue might be best in your situation, contact </w:t>
      </w:r>
      <w:r w:rsidR="00EE7CC6" w:rsidRPr="00EE7CC6">
        <w:rPr>
          <w:szCs w:val="24"/>
        </w:rPr>
        <w:t>Transgender Law Center</w:t>
      </w:r>
      <w:r w:rsidRPr="00982E1D">
        <w:rPr>
          <w:szCs w:val="24"/>
        </w:rPr>
        <w:t>.</w:t>
      </w:r>
    </w:p>
    <w:p w:rsidR="00392886" w:rsidRDefault="00392886" w:rsidP="00982E1D">
      <w:pPr>
        <w:rPr>
          <w:szCs w:val="24"/>
        </w:rPr>
      </w:pPr>
    </w:p>
    <w:p w:rsidR="00392886" w:rsidRPr="003938BE" w:rsidRDefault="00392886" w:rsidP="00392886">
      <w:pPr>
        <w:rPr>
          <w:b/>
        </w:rPr>
      </w:pPr>
      <w:r w:rsidRPr="003938BE">
        <w:rPr>
          <w:b/>
        </w:rPr>
        <w:t xml:space="preserve">Are There Any Laws Prohibiting </w:t>
      </w:r>
      <w:r>
        <w:rPr>
          <w:b/>
        </w:rPr>
        <w:t>Insurance</w:t>
      </w:r>
      <w:r w:rsidRPr="003938BE">
        <w:rPr>
          <w:b/>
        </w:rPr>
        <w:t xml:space="preserve"> </w:t>
      </w:r>
      <w:r>
        <w:rPr>
          <w:b/>
        </w:rPr>
        <w:t>Discrimination</w:t>
      </w:r>
      <w:r w:rsidRPr="003938BE">
        <w:rPr>
          <w:b/>
        </w:rPr>
        <w:t>?</w:t>
      </w:r>
    </w:p>
    <w:p w:rsidR="00392886" w:rsidRDefault="00392886" w:rsidP="00392886"/>
    <w:p w:rsidR="00392886" w:rsidRDefault="00392886" w:rsidP="00392886">
      <w:r>
        <w:t>The Insurance Gender Non-Discrimination Act of 2005 (AB 1586) prohibits insurers from discriminating on the basis of gender identity in</w:t>
      </w:r>
      <w:r w:rsidRPr="00917834">
        <w:t xml:space="preserve"> the creation and maintenance of </w:t>
      </w:r>
      <w:r>
        <w:t xml:space="preserve">insurance </w:t>
      </w:r>
      <w:r w:rsidRPr="00917834">
        <w:t>contracts</w:t>
      </w:r>
      <w:r>
        <w:t>,</w:t>
      </w:r>
      <w:r w:rsidRPr="00917834">
        <w:t xml:space="preserve"> and</w:t>
      </w:r>
      <w:r>
        <w:t xml:space="preserve"> in</w:t>
      </w:r>
      <w:r w:rsidRPr="00917834">
        <w:t xml:space="preserve"> the provision of services and benefits</w:t>
      </w:r>
      <w:r>
        <w:t xml:space="preserve"> in insurance contracts</w:t>
      </w:r>
      <w:r w:rsidRPr="00917834">
        <w:t>.</w:t>
      </w:r>
      <w:r>
        <w:t xml:space="preserve">  This means that an insurer cannot provide a transgender person with a contract that offers lesser coverage than is offered to a non-transgender person.</w:t>
      </w:r>
      <w:r>
        <w:rPr>
          <w:rStyle w:val="FootnoteReference"/>
        </w:rPr>
        <w:footnoteReference w:id="4"/>
      </w:r>
      <w:r>
        <w:t xml:space="preserve"> Unfortunately, it does not mean that insurers must offer insurance contracts</w:t>
      </w:r>
      <w:r w:rsidR="00142214">
        <w:t xml:space="preserve"> to all transgender persons, or</w:t>
      </w:r>
      <w:r>
        <w:t xml:space="preserve"> that an insurer may not consider care for transgender health needs, such as hormone replacement therapy, as evidence of a “pre-existing condition.”</w:t>
      </w:r>
    </w:p>
    <w:p w:rsidR="00982E1D" w:rsidRDefault="00982E1D" w:rsidP="00982E1D">
      <w:pPr>
        <w:rPr>
          <w:szCs w:val="24"/>
        </w:rPr>
      </w:pPr>
    </w:p>
    <w:p w:rsidR="00931BEB" w:rsidRDefault="00931BEB" w:rsidP="00982E1D">
      <w:pPr>
        <w:rPr>
          <w:szCs w:val="24"/>
        </w:rPr>
      </w:pPr>
      <w:r>
        <w:rPr>
          <w:szCs w:val="24"/>
        </w:rPr>
        <w:t>If you experience discrimination in the terms or provisions of your insurance contract or coverage, you may be able to make a complaint to one of the following agencies:</w:t>
      </w:r>
    </w:p>
    <w:p w:rsidR="00931BEB" w:rsidRPr="00982E1D" w:rsidRDefault="00931BEB" w:rsidP="00982E1D">
      <w:pPr>
        <w:rPr>
          <w:szCs w:val="24"/>
        </w:rPr>
      </w:pPr>
    </w:p>
    <w:p w:rsidR="004936B6" w:rsidRDefault="004936B6" w:rsidP="004936B6">
      <w:pPr>
        <w:rPr>
          <w:szCs w:val="24"/>
        </w:rPr>
      </w:pPr>
      <w:r w:rsidRPr="004936B6">
        <w:rPr>
          <w:b/>
          <w:szCs w:val="24"/>
        </w:rPr>
        <w:t>The California Department of Managed Care</w:t>
      </w:r>
      <w:r>
        <w:rPr>
          <w:szCs w:val="24"/>
        </w:rPr>
        <w:t xml:space="preserve"> </w:t>
      </w:r>
      <w:r w:rsidRPr="004936B6">
        <w:rPr>
          <w:szCs w:val="24"/>
        </w:rPr>
        <w:t xml:space="preserve">investigates complaints of discrimination if </w:t>
      </w:r>
      <w:r w:rsidR="00D049A7">
        <w:rPr>
          <w:szCs w:val="24"/>
        </w:rPr>
        <w:t>your insurance contract is through an HMO</w:t>
      </w:r>
      <w:r w:rsidRPr="004936B6">
        <w:rPr>
          <w:szCs w:val="24"/>
        </w:rPr>
        <w:t xml:space="preserve">. </w:t>
      </w:r>
      <w:r>
        <w:rPr>
          <w:szCs w:val="24"/>
        </w:rPr>
        <w:t>To learn more about the Department of Managed Care</w:t>
      </w:r>
      <w:r w:rsidRPr="004936B6">
        <w:rPr>
          <w:szCs w:val="24"/>
        </w:rPr>
        <w:t xml:space="preserve"> </w:t>
      </w:r>
      <w:r>
        <w:rPr>
          <w:szCs w:val="24"/>
        </w:rPr>
        <w:t xml:space="preserve">or to make a </w:t>
      </w:r>
      <w:r w:rsidRPr="004936B6">
        <w:rPr>
          <w:szCs w:val="24"/>
        </w:rPr>
        <w:t xml:space="preserve">complaint </w:t>
      </w:r>
      <w:r>
        <w:rPr>
          <w:szCs w:val="24"/>
        </w:rPr>
        <w:t>about a</w:t>
      </w:r>
      <w:r w:rsidR="00D049A7">
        <w:rPr>
          <w:szCs w:val="24"/>
        </w:rPr>
        <w:t>n HMO</w:t>
      </w:r>
      <w:r>
        <w:rPr>
          <w:szCs w:val="24"/>
        </w:rPr>
        <w:t xml:space="preserve"> health ca</w:t>
      </w:r>
      <w:r w:rsidR="00D049A7">
        <w:rPr>
          <w:szCs w:val="24"/>
        </w:rPr>
        <w:t>re plan</w:t>
      </w:r>
      <w:r w:rsidRPr="004936B6">
        <w:rPr>
          <w:szCs w:val="24"/>
        </w:rPr>
        <w:t xml:space="preserve">, see: </w:t>
      </w:r>
      <w:hyperlink r:id="rId14" w:history="1">
        <w:r w:rsidRPr="009D27F9">
          <w:rPr>
            <w:rStyle w:val="Hyperlink"/>
            <w:szCs w:val="24"/>
          </w:rPr>
          <w:t>http://www.hmohelp.ca.gov</w:t>
        </w:r>
      </w:hyperlink>
      <w:r>
        <w:rPr>
          <w:szCs w:val="24"/>
        </w:rPr>
        <w:t xml:space="preserve"> </w:t>
      </w:r>
      <w:r w:rsidRPr="004936B6">
        <w:rPr>
          <w:szCs w:val="24"/>
        </w:rPr>
        <w:t>or call</w:t>
      </w:r>
      <w:r>
        <w:rPr>
          <w:szCs w:val="24"/>
        </w:rPr>
        <w:t xml:space="preserve"> </w:t>
      </w:r>
      <w:r w:rsidRPr="004936B6">
        <w:rPr>
          <w:szCs w:val="24"/>
        </w:rPr>
        <w:t>(888) 466-2219.</w:t>
      </w:r>
    </w:p>
    <w:p w:rsidR="004936B6" w:rsidRDefault="004936B6" w:rsidP="004936B6">
      <w:pPr>
        <w:rPr>
          <w:szCs w:val="24"/>
        </w:rPr>
      </w:pPr>
    </w:p>
    <w:p w:rsidR="004936B6" w:rsidRDefault="004936B6" w:rsidP="004936B6">
      <w:pPr>
        <w:rPr>
          <w:szCs w:val="24"/>
        </w:rPr>
      </w:pPr>
      <w:r w:rsidRPr="004936B6">
        <w:rPr>
          <w:b/>
          <w:szCs w:val="24"/>
        </w:rPr>
        <w:t>The California Department of Insurance</w:t>
      </w:r>
      <w:r>
        <w:rPr>
          <w:szCs w:val="24"/>
        </w:rPr>
        <w:t xml:space="preserve"> investigates claims of insurance discrimination as well as denials of insurance coverage. If you believe you were unfairly denied </w:t>
      </w:r>
      <w:r w:rsidR="009414A7">
        <w:rPr>
          <w:szCs w:val="24"/>
        </w:rPr>
        <w:t xml:space="preserve">insurance </w:t>
      </w:r>
      <w:r>
        <w:rPr>
          <w:szCs w:val="24"/>
        </w:rPr>
        <w:t xml:space="preserve">coverage </w:t>
      </w:r>
      <w:r w:rsidR="009414A7">
        <w:rPr>
          <w:szCs w:val="24"/>
        </w:rPr>
        <w:t>for a necessary medical procedure</w:t>
      </w:r>
      <w:r w:rsidR="006C1D7A">
        <w:rPr>
          <w:szCs w:val="24"/>
        </w:rPr>
        <w:t>,</w:t>
      </w:r>
      <w:r w:rsidR="009414A7">
        <w:rPr>
          <w:szCs w:val="24"/>
        </w:rPr>
        <w:t xml:space="preserve"> you can ask the California Department of Insurance to </w:t>
      </w:r>
      <w:r w:rsidR="006C1D7A">
        <w:rPr>
          <w:szCs w:val="24"/>
        </w:rPr>
        <w:t xml:space="preserve">undertake </w:t>
      </w:r>
      <w:r w:rsidR="009414A7">
        <w:rPr>
          <w:szCs w:val="24"/>
        </w:rPr>
        <w:t xml:space="preserve">an Independent Medical Review (IMR) at (800) 927-4357 or </w:t>
      </w:r>
      <w:r w:rsidR="005751FC">
        <w:rPr>
          <w:szCs w:val="24"/>
        </w:rPr>
        <w:t xml:space="preserve">see: </w:t>
      </w:r>
      <w:hyperlink r:id="rId15" w:history="1">
        <w:r w:rsidR="009414A7" w:rsidRPr="009D27F9">
          <w:rPr>
            <w:rStyle w:val="Hyperlink"/>
            <w:szCs w:val="24"/>
          </w:rPr>
          <w:t>http://www.insurance.ca.gov</w:t>
        </w:r>
      </w:hyperlink>
    </w:p>
    <w:p w:rsidR="009414A7" w:rsidRDefault="009414A7" w:rsidP="004936B6">
      <w:pPr>
        <w:rPr>
          <w:szCs w:val="24"/>
        </w:rPr>
      </w:pPr>
    </w:p>
    <w:p w:rsidR="002B6313" w:rsidRDefault="002B6313" w:rsidP="00982E1D">
      <w:pPr>
        <w:rPr>
          <w:szCs w:val="24"/>
        </w:rPr>
      </w:pPr>
    </w:p>
    <w:p w:rsidR="002B6313" w:rsidRDefault="002B6313" w:rsidP="00982E1D">
      <w:pPr>
        <w:rPr>
          <w:szCs w:val="24"/>
        </w:rPr>
      </w:pPr>
    </w:p>
    <w:p w:rsidR="002B6313" w:rsidRDefault="002B6313" w:rsidP="00982E1D">
      <w:pPr>
        <w:rPr>
          <w:szCs w:val="24"/>
        </w:rPr>
      </w:pPr>
    </w:p>
    <w:p w:rsidR="00E95C79" w:rsidRDefault="00E95C79" w:rsidP="00982E1D">
      <w:pPr>
        <w:rPr>
          <w:szCs w:val="24"/>
        </w:rPr>
      </w:pPr>
    </w:p>
    <w:p w:rsidR="002B6313" w:rsidRDefault="002B6313" w:rsidP="00982E1D">
      <w:pPr>
        <w:rPr>
          <w:szCs w:val="24"/>
        </w:rPr>
      </w:pPr>
    </w:p>
    <w:p w:rsidR="002B6313" w:rsidRDefault="002B6313" w:rsidP="00982E1D">
      <w:pPr>
        <w:rPr>
          <w:szCs w:val="24"/>
        </w:rPr>
      </w:pPr>
    </w:p>
    <w:p w:rsidR="002B6313" w:rsidRDefault="002B6313" w:rsidP="002B6313">
      <w:pPr>
        <w:pBdr>
          <w:top w:val="single" w:sz="4" w:space="1" w:color="auto"/>
        </w:pBdr>
        <w:rPr>
          <w:szCs w:val="24"/>
        </w:rPr>
      </w:pPr>
    </w:p>
    <w:p w:rsidR="00982E1D" w:rsidRPr="002B6313" w:rsidRDefault="00982E1D" w:rsidP="00982E1D">
      <w:pPr>
        <w:autoSpaceDE w:val="0"/>
        <w:autoSpaceDN w:val="0"/>
        <w:adjustRightInd w:val="0"/>
        <w:rPr>
          <w:sz w:val="22"/>
          <w:szCs w:val="22"/>
        </w:rPr>
      </w:pPr>
      <w:r w:rsidRPr="002B6313">
        <w:rPr>
          <w:sz w:val="22"/>
          <w:szCs w:val="22"/>
        </w:rPr>
        <w:t xml:space="preserve">This pamphlet was produced by </w:t>
      </w:r>
      <w:r w:rsidR="00EE7CC6" w:rsidRPr="00EE7CC6">
        <w:rPr>
          <w:szCs w:val="24"/>
        </w:rPr>
        <w:t>Transgender Law Center</w:t>
      </w:r>
      <w:r w:rsidR="00EE7CC6">
        <w:rPr>
          <w:sz w:val="22"/>
          <w:szCs w:val="22"/>
        </w:rPr>
        <w:t xml:space="preserve">’s </w:t>
      </w:r>
      <w:r w:rsidRPr="002B6313">
        <w:rPr>
          <w:sz w:val="22"/>
          <w:szCs w:val="22"/>
        </w:rPr>
        <w:t xml:space="preserve">Health Care Access Project (HCAP), a joint effort of </w:t>
      </w:r>
      <w:r w:rsidR="00EE7CC6" w:rsidRPr="00EE7CC6">
        <w:rPr>
          <w:szCs w:val="24"/>
        </w:rPr>
        <w:t>Transgender Law Center</w:t>
      </w:r>
      <w:r w:rsidR="00EE7CC6" w:rsidRPr="002B6313">
        <w:rPr>
          <w:sz w:val="22"/>
          <w:szCs w:val="22"/>
        </w:rPr>
        <w:t xml:space="preserve"> </w:t>
      </w:r>
      <w:r w:rsidRPr="002B6313">
        <w:rPr>
          <w:sz w:val="22"/>
          <w:szCs w:val="22"/>
        </w:rPr>
        <w:t xml:space="preserve">and The California Endowment. If you have questions about HCAP or would like to book a free workshop on transgender health law issues, contact </w:t>
      </w:r>
      <w:r w:rsidR="00EE7CC6">
        <w:rPr>
          <w:sz w:val="22"/>
          <w:szCs w:val="22"/>
        </w:rPr>
        <w:t>Matt Wood at matt@t</w:t>
      </w:r>
      <w:r w:rsidR="00222089">
        <w:rPr>
          <w:sz w:val="22"/>
          <w:szCs w:val="22"/>
        </w:rPr>
        <w:t>r</w:t>
      </w:r>
      <w:r w:rsidR="00EE7CC6">
        <w:rPr>
          <w:sz w:val="22"/>
          <w:szCs w:val="22"/>
        </w:rPr>
        <w:t>a</w:t>
      </w:r>
      <w:r w:rsidR="00222089">
        <w:rPr>
          <w:sz w:val="22"/>
          <w:szCs w:val="22"/>
        </w:rPr>
        <w:t>nsgenderlawcenter.org</w:t>
      </w:r>
      <w:r w:rsidRPr="002B6313">
        <w:rPr>
          <w:color w:val="000000"/>
          <w:sz w:val="22"/>
          <w:szCs w:val="22"/>
        </w:rPr>
        <w:t xml:space="preserve">. </w:t>
      </w:r>
    </w:p>
    <w:p w:rsidR="00982E1D" w:rsidRPr="002B6313" w:rsidRDefault="00982E1D" w:rsidP="00982E1D">
      <w:pPr>
        <w:autoSpaceDE w:val="0"/>
        <w:autoSpaceDN w:val="0"/>
        <w:adjustRightInd w:val="0"/>
        <w:rPr>
          <w:sz w:val="22"/>
          <w:szCs w:val="22"/>
        </w:rPr>
      </w:pPr>
    </w:p>
    <w:p w:rsidR="00982E1D" w:rsidRPr="002B6313" w:rsidRDefault="00982E1D" w:rsidP="00982E1D">
      <w:pPr>
        <w:autoSpaceDE w:val="0"/>
        <w:autoSpaceDN w:val="0"/>
        <w:adjustRightInd w:val="0"/>
        <w:rPr>
          <w:sz w:val="22"/>
          <w:szCs w:val="22"/>
        </w:rPr>
      </w:pPr>
      <w:r w:rsidRPr="002B6313">
        <w:rPr>
          <w:sz w:val="22"/>
          <w:szCs w:val="22"/>
        </w:rPr>
        <w:t>The information in this pamphlet is not meant to substitute for advice from an attorney or appropriate agency. Because of the changing nature of the law, we cannot be responsible for any use to which it is put.</w:t>
      </w:r>
    </w:p>
    <w:p w:rsidR="00982E1D" w:rsidRPr="002B6313" w:rsidRDefault="00982E1D" w:rsidP="00982E1D">
      <w:pPr>
        <w:rPr>
          <w:sz w:val="22"/>
          <w:szCs w:val="22"/>
        </w:rPr>
      </w:pPr>
    </w:p>
    <w:p w:rsidR="00982E1D" w:rsidRPr="002B6313" w:rsidRDefault="00EE7CC6" w:rsidP="002B6313">
      <w:pPr>
        <w:jc w:val="center"/>
        <w:rPr>
          <w:sz w:val="22"/>
          <w:szCs w:val="22"/>
        </w:rPr>
      </w:pPr>
      <w:r>
        <w:rPr>
          <w:sz w:val="22"/>
          <w:szCs w:val="22"/>
        </w:rPr>
        <w:t>June 2011</w:t>
      </w:r>
    </w:p>
    <w:sectPr w:rsidR="00982E1D" w:rsidRPr="002B6313" w:rsidSect="0050767B">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BD5" w:rsidRDefault="002C0BD5">
      <w:r>
        <w:separator/>
      </w:r>
    </w:p>
  </w:endnote>
  <w:endnote w:type="continuationSeparator" w:id="1">
    <w:p w:rsidR="002C0BD5" w:rsidRDefault="002C0B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Ind w:w="-792" w:type="dxa"/>
      <w:tblBorders>
        <w:top w:val="single" w:sz="4" w:space="0" w:color="auto"/>
      </w:tblBorders>
      <w:tblLook w:val="01E0"/>
    </w:tblPr>
    <w:tblGrid>
      <w:gridCol w:w="5220"/>
      <w:gridCol w:w="360"/>
      <w:gridCol w:w="5220"/>
    </w:tblGrid>
    <w:tr w:rsidR="00222089" w:rsidRPr="009B00B7" w:rsidTr="009B00B7">
      <w:tc>
        <w:tcPr>
          <w:tcW w:w="5220" w:type="dxa"/>
        </w:tcPr>
        <w:p w:rsidR="00222089" w:rsidRPr="009B00B7" w:rsidRDefault="00222089" w:rsidP="0050767B">
          <w:pPr>
            <w:pStyle w:val="Footer"/>
            <w:rPr>
              <w:rFonts w:ascii="Bookman Old Style" w:hAnsi="Bookman Old Style"/>
              <w:b/>
              <w:i/>
              <w:smallCaps/>
              <w:color w:val="808080"/>
              <w:sz w:val="20"/>
            </w:rPr>
          </w:pPr>
        </w:p>
      </w:tc>
      <w:tc>
        <w:tcPr>
          <w:tcW w:w="360" w:type="dxa"/>
        </w:tcPr>
        <w:p w:rsidR="00222089" w:rsidRPr="009B00B7" w:rsidRDefault="00222089" w:rsidP="009B00B7">
          <w:pPr>
            <w:pStyle w:val="Footer"/>
            <w:jc w:val="right"/>
            <w:rPr>
              <w:rFonts w:ascii="Bookman Old Style" w:hAnsi="Bookman Old Style"/>
              <w:b/>
              <w:smallCaps/>
              <w:color w:val="808080"/>
              <w:sz w:val="20"/>
            </w:rPr>
          </w:pPr>
        </w:p>
      </w:tc>
      <w:tc>
        <w:tcPr>
          <w:tcW w:w="5220" w:type="dxa"/>
        </w:tcPr>
        <w:p w:rsidR="00222089" w:rsidRPr="009B00B7" w:rsidRDefault="00222089" w:rsidP="009B00B7">
          <w:pPr>
            <w:pStyle w:val="Footer"/>
            <w:tabs>
              <w:tab w:val="clear" w:pos="4320"/>
              <w:tab w:val="center" w:pos="4932"/>
            </w:tabs>
            <w:ind w:right="-720"/>
            <w:jc w:val="right"/>
            <w:rPr>
              <w:rFonts w:ascii="Bookman Old Style" w:hAnsi="Bookman Old Style"/>
              <w:b/>
              <w:smallCaps/>
              <w:color w:val="808080"/>
              <w:sz w:val="20"/>
            </w:rPr>
          </w:pPr>
        </w:p>
      </w:tc>
    </w:tr>
  </w:tbl>
  <w:p w:rsidR="00222089" w:rsidRDefault="00222089" w:rsidP="005076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BD5" w:rsidRDefault="002C0BD5">
      <w:r>
        <w:separator/>
      </w:r>
    </w:p>
  </w:footnote>
  <w:footnote w:type="continuationSeparator" w:id="1">
    <w:p w:rsidR="002C0BD5" w:rsidRDefault="002C0BD5">
      <w:r>
        <w:continuationSeparator/>
      </w:r>
    </w:p>
  </w:footnote>
  <w:footnote w:id="2">
    <w:p w:rsidR="00222089" w:rsidRDefault="00222089" w:rsidP="004E390B">
      <w:pPr>
        <w:pStyle w:val="FootnoteText"/>
      </w:pPr>
      <w:r>
        <w:rPr>
          <w:rStyle w:val="FootnoteReference"/>
        </w:rPr>
        <w:footnoteRef/>
      </w:r>
      <w:r>
        <w:t xml:space="preserve"> Cal. Civ. Code §51(b).</w:t>
      </w:r>
    </w:p>
  </w:footnote>
  <w:footnote w:id="3">
    <w:p w:rsidR="00222089" w:rsidRDefault="00222089" w:rsidP="00982E1D">
      <w:pPr>
        <w:pStyle w:val="FootnoteText"/>
      </w:pPr>
      <w:r>
        <w:rPr>
          <w:rStyle w:val="FootnoteReference"/>
        </w:rPr>
        <w:footnoteRef/>
      </w:r>
      <w:r>
        <w:t xml:space="preserve"> This section of this pamphlet pertains particularly </w:t>
      </w:r>
      <w:r w:rsidR="00EE7CC6">
        <w:t>to private health insurance. Transgender Law center</w:t>
      </w:r>
      <w:r>
        <w:t xml:space="preserve"> has a separate publication on public health insurance titled: </w:t>
      </w:r>
      <w:r>
        <w:rPr>
          <w:i/>
        </w:rPr>
        <w:t xml:space="preserve">Medi-Cal </w:t>
      </w:r>
      <w:r w:rsidRPr="00A105E9">
        <w:rPr>
          <w:i/>
          <w:color w:val="000000"/>
        </w:rPr>
        <w:t xml:space="preserve">and Gender Reassignment </w:t>
      </w:r>
      <w:r>
        <w:rPr>
          <w:i/>
        </w:rPr>
        <w:t>Procedures</w:t>
      </w:r>
      <w:r>
        <w:t xml:space="preserve">. </w:t>
      </w:r>
    </w:p>
  </w:footnote>
  <w:footnote w:id="4">
    <w:p w:rsidR="00222089" w:rsidRDefault="00222089" w:rsidP="00392886">
      <w:pPr>
        <w:pStyle w:val="FootnoteText"/>
      </w:pPr>
      <w:r>
        <w:rPr>
          <w:rStyle w:val="FootnoteReference"/>
        </w:rPr>
        <w:footnoteRef/>
      </w:r>
      <w:r>
        <w:t xml:space="preserve"> Cal. Health &amp; Safety Code §1365.5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037" w:type="dxa"/>
      <w:tblInd w:w="-612" w:type="dxa"/>
      <w:tblLook w:val="01E0"/>
    </w:tblPr>
    <w:tblGrid>
      <w:gridCol w:w="6120"/>
      <w:gridCol w:w="4917"/>
    </w:tblGrid>
    <w:tr w:rsidR="00222089" w:rsidTr="009B00B7">
      <w:tc>
        <w:tcPr>
          <w:tcW w:w="6120" w:type="dxa"/>
        </w:tcPr>
        <w:p w:rsidR="00222089" w:rsidRPr="009B00B7" w:rsidRDefault="009C70AE" w:rsidP="009B00B7">
          <w:pPr>
            <w:jc w:val="center"/>
            <w:rPr>
              <w:color w:val="808080"/>
            </w:rPr>
          </w:pPr>
          <w:r>
            <w:rPr>
              <w:noProof/>
              <w:color w:val="808080"/>
            </w:rPr>
            <w:drawing>
              <wp:inline distT="0" distB="0" distL="0" distR="0">
                <wp:extent cx="3048000" cy="1181100"/>
                <wp:effectExtent l="19050" t="0" r="0" b="0"/>
                <wp:docPr id="1" name="Picture 1" descr="TLC Logo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C Logo 100%"/>
                        <pic:cNvPicPr>
                          <a:picLocks noChangeAspect="1" noChangeArrowheads="1"/>
                        </pic:cNvPicPr>
                      </pic:nvPicPr>
                      <pic:blipFill>
                        <a:blip r:embed="rId1"/>
                        <a:srcRect/>
                        <a:stretch>
                          <a:fillRect/>
                        </a:stretch>
                      </pic:blipFill>
                      <pic:spPr bwMode="auto">
                        <a:xfrm>
                          <a:off x="0" y="0"/>
                          <a:ext cx="3048000" cy="1181100"/>
                        </a:xfrm>
                        <a:prstGeom prst="rect">
                          <a:avLst/>
                        </a:prstGeom>
                        <a:noFill/>
                        <a:ln w="9525">
                          <a:noFill/>
                          <a:miter lim="800000"/>
                          <a:headEnd/>
                          <a:tailEnd/>
                        </a:ln>
                      </pic:spPr>
                    </pic:pic>
                  </a:graphicData>
                </a:graphic>
              </wp:inline>
            </w:drawing>
          </w:r>
        </w:p>
        <w:p w:rsidR="00222089" w:rsidRPr="009B00B7" w:rsidRDefault="00222089" w:rsidP="009B00B7">
          <w:pPr>
            <w:jc w:val="center"/>
            <w:rPr>
              <w:rFonts w:ascii="Bookman Old Style" w:hAnsi="Bookman Old Style" w:cs="Arial"/>
              <w:b/>
              <w:i/>
              <w:smallCaps/>
            </w:rPr>
          </w:pPr>
          <w:r w:rsidRPr="009B00B7">
            <w:rPr>
              <w:rFonts w:ascii="Bookman Old Style" w:hAnsi="Bookman Old Style" w:cs="Arial"/>
              <w:b/>
              <w:i/>
              <w:smallCaps/>
              <w:color w:val="808080"/>
            </w:rPr>
            <w:t>Advocating for our communities</w:t>
          </w:r>
        </w:p>
      </w:tc>
      <w:tc>
        <w:tcPr>
          <w:tcW w:w="4917" w:type="dxa"/>
        </w:tcPr>
        <w:p w:rsidR="00222089" w:rsidRPr="009B00B7" w:rsidRDefault="00222089" w:rsidP="009B00B7">
          <w:pPr>
            <w:pStyle w:val="Title"/>
            <w:ind w:left="-18"/>
            <w:jc w:val="left"/>
            <w:rPr>
              <w:rFonts w:ascii="Bookman Old Style" w:hAnsi="Bookman Old Style"/>
              <w:smallCaps/>
              <w:color w:val="808080"/>
              <w:sz w:val="12"/>
              <w:szCs w:val="12"/>
            </w:rPr>
          </w:pPr>
        </w:p>
        <w:p w:rsidR="00222089" w:rsidRPr="009B00B7" w:rsidRDefault="00617410" w:rsidP="009B00B7">
          <w:pPr>
            <w:pStyle w:val="Title"/>
            <w:ind w:left="-18"/>
            <w:jc w:val="left"/>
            <w:rPr>
              <w:rFonts w:ascii="Bookman Old Style" w:hAnsi="Bookman Old Style"/>
              <w:smallCaps/>
              <w:color w:val="808080"/>
              <w:sz w:val="22"/>
              <w:szCs w:val="22"/>
            </w:rPr>
          </w:pPr>
          <w:r>
            <w:rPr>
              <w:rFonts w:ascii="Bookman Old Style" w:hAnsi="Bookman Old Style"/>
              <w:smallCaps/>
              <w:color w:val="808080"/>
              <w:sz w:val="22"/>
              <w:szCs w:val="22"/>
            </w:rPr>
            <w:t>870 Market Street, Suite 400</w:t>
          </w:r>
        </w:p>
        <w:p w:rsidR="00222089" w:rsidRPr="009B00B7" w:rsidRDefault="00222089" w:rsidP="009B00B7">
          <w:pPr>
            <w:pStyle w:val="Title"/>
            <w:ind w:left="-18"/>
            <w:jc w:val="left"/>
            <w:rPr>
              <w:rFonts w:ascii="Bookman Old Style" w:hAnsi="Bookman Old Style"/>
              <w:smallCaps/>
              <w:color w:val="808080"/>
              <w:sz w:val="22"/>
              <w:szCs w:val="22"/>
            </w:rPr>
          </w:pPr>
          <w:r w:rsidRPr="009B00B7">
            <w:rPr>
              <w:rFonts w:ascii="Bookman Old Style" w:hAnsi="Bookman Old Style"/>
              <w:smallCaps/>
              <w:color w:val="808080"/>
              <w:sz w:val="22"/>
              <w:szCs w:val="22"/>
            </w:rPr>
            <w:t>San Francisco, CA 94102</w:t>
          </w:r>
        </w:p>
        <w:p w:rsidR="00222089" w:rsidRPr="009B00B7" w:rsidRDefault="00222089" w:rsidP="009B00B7">
          <w:pPr>
            <w:ind w:left="-18" w:right="-720"/>
            <w:rPr>
              <w:rFonts w:ascii="Bookman Old Style" w:hAnsi="Bookman Old Style"/>
              <w:smallCaps/>
              <w:color w:val="808080"/>
              <w:sz w:val="22"/>
              <w:szCs w:val="22"/>
            </w:rPr>
          </w:pPr>
          <w:r w:rsidRPr="009B00B7">
            <w:rPr>
              <w:rFonts w:ascii="Bookman Old Style" w:hAnsi="Bookman Old Style"/>
              <w:smallCaps/>
              <w:color w:val="808080"/>
              <w:sz w:val="22"/>
              <w:szCs w:val="22"/>
            </w:rPr>
            <w:t xml:space="preserve"> (415) 865-0176</w:t>
          </w:r>
        </w:p>
        <w:p w:rsidR="00222089" w:rsidRPr="009B00B7" w:rsidRDefault="00222089" w:rsidP="009B00B7">
          <w:pPr>
            <w:ind w:left="-18" w:right="-720"/>
            <w:rPr>
              <w:rFonts w:ascii="Bookman Old Style" w:hAnsi="Bookman Old Style"/>
              <w:smallCaps/>
              <w:color w:val="808080"/>
              <w:sz w:val="22"/>
              <w:szCs w:val="22"/>
            </w:rPr>
          </w:pPr>
        </w:p>
        <w:p w:rsidR="00222089" w:rsidRPr="009B00B7" w:rsidRDefault="00222089" w:rsidP="009B00B7">
          <w:pPr>
            <w:ind w:left="-18"/>
            <w:rPr>
              <w:rFonts w:ascii="Bookman Old Style" w:hAnsi="Bookman Old Style"/>
              <w:smallCaps/>
              <w:color w:val="808080"/>
              <w:sz w:val="22"/>
              <w:szCs w:val="22"/>
            </w:rPr>
          </w:pPr>
          <w:r w:rsidRPr="009B00B7">
            <w:rPr>
              <w:rFonts w:ascii="Bookman Old Style" w:hAnsi="Bookman Old Style"/>
              <w:smallCaps/>
              <w:color w:val="808080"/>
              <w:sz w:val="22"/>
              <w:szCs w:val="22"/>
            </w:rPr>
            <w:t>www.transgenderlawcenter.org</w:t>
          </w:r>
        </w:p>
        <w:p w:rsidR="00222089" w:rsidRDefault="00222089" w:rsidP="0050767B">
          <w:smartTag w:uri="urn:schemas-microsoft-com:office:smarttags" w:element="PersonName">
            <w:r w:rsidRPr="009B00B7">
              <w:rPr>
                <w:rFonts w:ascii="Bookman Old Style" w:hAnsi="Bookman Old Style"/>
                <w:smallCaps/>
                <w:color w:val="808080"/>
                <w:sz w:val="22"/>
                <w:szCs w:val="22"/>
              </w:rPr>
              <w:t>info@transgenderlawcenter.org</w:t>
            </w:r>
          </w:smartTag>
        </w:p>
      </w:tc>
    </w:tr>
  </w:tbl>
  <w:p w:rsidR="00222089" w:rsidRPr="0050767B" w:rsidRDefault="00222089" w:rsidP="005076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CC2"/>
    <w:multiLevelType w:val="multilevel"/>
    <w:tmpl w:val="70E0C17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A4103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2423041"/>
    <w:multiLevelType w:val="multilevel"/>
    <w:tmpl w:val="DAD81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7C4D8C"/>
    <w:multiLevelType w:val="hybridMultilevel"/>
    <w:tmpl w:val="7D34AE88"/>
    <w:lvl w:ilvl="0" w:tplc="2750891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AA7E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15D6F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8621A9B"/>
    <w:multiLevelType w:val="hybridMultilevel"/>
    <w:tmpl w:val="8E9A2446"/>
    <w:lvl w:ilvl="0" w:tplc="30F46E3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E16DB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A29331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A4A01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721D1C5A"/>
    <w:multiLevelType w:val="hybridMultilevel"/>
    <w:tmpl w:val="C40EE9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6624E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76D17C0D"/>
    <w:multiLevelType w:val="hybridMultilevel"/>
    <w:tmpl w:val="7698FF06"/>
    <w:lvl w:ilvl="0" w:tplc="00CA7F5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4"/>
  </w:num>
  <w:num w:numId="4">
    <w:abstractNumId w:val="7"/>
  </w:num>
  <w:num w:numId="5">
    <w:abstractNumId w:val="8"/>
  </w:num>
  <w:num w:numId="6">
    <w:abstractNumId w:val="5"/>
  </w:num>
  <w:num w:numId="7">
    <w:abstractNumId w:val="11"/>
  </w:num>
  <w:num w:numId="8">
    <w:abstractNumId w:val="9"/>
  </w:num>
  <w:num w:numId="9">
    <w:abstractNumId w:val="3"/>
  </w:num>
  <w:num w:numId="10">
    <w:abstractNumId w:val="6"/>
  </w:num>
  <w:num w:numId="11">
    <w:abstractNumId w:val="12"/>
  </w:num>
  <w:num w:numId="12">
    <w:abstractNumId w:val="1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353ED8"/>
    <w:rsid w:val="00060225"/>
    <w:rsid w:val="000B626D"/>
    <w:rsid w:val="000D4B91"/>
    <w:rsid w:val="000E286C"/>
    <w:rsid w:val="00142214"/>
    <w:rsid w:val="001853B8"/>
    <w:rsid w:val="00193556"/>
    <w:rsid w:val="00203C26"/>
    <w:rsid w:val="00222089"/>
    <w:rsid w:val="0023564B"/>
    <w:rsid w:val="002360F5"/>
    <w:rsid w:val="0024563A"/>
    <w:rsid w:val="002B6313"/>
    <w:rsid w:val="002C0BD5"/>
    <w:rsid w:val="00346444"/>
    <w:rsid w:val="00353ED8"/>
    <w:rsid w:val="00392886"/>
    <w:rsid w:val="003938BE"/>
    <w:rsid w:val="003B3CDF"/>
    <w:rsid w:val="003C5650"/>
    <w:rsid w:val="003E61A6"/>
    <w:rsid w:val="00400BC6"/>
    <w:rsid w:val="00454D73"/>
    <w:rsid w:val="004936B6"/>
    <w:rsid w:val="004C1873"/>
    <w:rsid w:val="004D0169"/>
    <w:rsid w:val="004E390B"/>
    <w:rsid w:val="0050562D"/>
    <w:rsid w:val="005061B1"/>
    <w:rsid w:val="0050767B"/>
    <w:rsid w:val="00541055"/>
    <w:rsid w:val="005751FC"/>
    <w:rsid w:val="00603A2E"/>
    <w:rsid w:val="00603ADF"/>
    <w:rsid w:val="00617410"/>
    <w:rsid w:val="00624588"/>
    <w:rsid w:val="006A470B"/>
    <w:rsid w:val="006C1D7A"/>
    <w:rsid w:val="00733831"/>
    <w:rsid w:val="008159DF"/>
    <w:rsid w:val="00830A72"/>
    <w:rsid w:val="00840A6B"/>
    <w:rsid w:val="008453EA"/>
    <w:rsid w:val="00931BEB"/>
    <w:rsid w:val="0094002C"/>
    <w:rsid w:val="009414A7"/>
    <w:rsid w:val="00942CF0"/>
    <w:rsid w:val="009623E7"/>
    <w:rsid w:val="00982946"/>
    <w:rsid w:val="00982E1D"/>
    <w:rsid w:val="009B00B7"/>
    <w:rsid w:val="009C70AE"/>
    <w:rsid w:val="00A1281F"/>
    <w:rsid w:val="00AC3ECE"/>
    <w:rsid w:val="00B225A9"/>
    <w:rsid w:val="00B25F16"/>
    <w:rsid w:val="00B82D31"/>
    <w:rsid w:val="00C203D4"/>
    <w:rsid w:val="00C9293D"/>
    <w:rsid w:val="00D049A7"/>
    <w:rsid w:val="00DD249B"/>
    <w:rsid w:val="00DE2F64"/>
    <w:rsid w:val="00DF1EFF"/>
    <w:rsid w:val="00E46B9A"/>
    <w:rsid w:val="00E95C79"/>
    <w:rsid w:val="00EA6038"/>
    <w:rsid w:val="00EB7449"/>
    <w:rsid w:val="00EE7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ED8"/>
    <w:rPr>
      <w:sz w:val="24"/>
    </w:rPr>
  </w:style>
  <w:style w:type="paragraph" w:styleId="Heading1">
    <w:name w:val="heading 1"/>
    <w:basedOn w:val="Normal"/>
    <w:next w:val="Normal"/>
    <w:qFormat/>
    <w:rsid w:val="0050767B"/>
    <w:pPr>
      <w:keepNext/>
      <w:spacing w:before="240" w:after="60"/>
      <w:outlineLvl w:val="0"/>
    </w:pPr>
    <w:rPr>
      <w:rFonts w:ascii="Arial" w:hAnsi="Arial" w:cs="Arial"/>
      <w:b/>
      <w:bCs/>
      <w:kern w:val="32"/>
      <w:sz w:val="32"/>
      <w:szCs w:val="32"/>
    </w:rPr>
  </w:style>
  <w:style w:type="paragraph" w:styleId="Heading6">
    <w:name w:val="heading 6"/>
    <w:basedOn w:val="Normal"/>
    <w:qFormat/>
    <w:rsid w:val="00193556"/>
    <w:pPr>
      <w:spacing w:before="100" w:beforeAutospacing="1" w:after="100" w:afterAutospacing="1"/>
      <w:outlineLvl w:val="5"/>
    </w:pPr>
    <w:rPr>
      <w:rFonts w:ascii="Arial" w:hAnsi="Arial" w:cs="Arial"/>
      <w:b/>
      <w:bCs/>
      <w:color w:val="000099"/>
      <w:sz w:val="18"/>
      <w:szCs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353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53ED8"/>
    <w:pPr>
      <w:tabs>
        <w:tab w:val="center" w:pos="4320"/>
        <w:tab w:val="right" w:pos="8640"/>
      </w:tabs>
    </w:pPr>
  </w:style>
  <w:style w:type="paragraph" w:styleId="Footer">
    <w:name w:val="footer"/>
    <w:basedOn w:val="Normal"/>
    <w:rsid w:val="00353ED8"/>
    <w:pPr>
      <w:tabs>
        <w:tab w:val="center" w:pos="4320"/>
        <w:tab w:val="right" w:pos="8640"/>
      </w:tabs>
    </w:pPr>
  </w:style>
  <w:style w:type="paragraph" w:styleId="Title">
    <w:name w:val="Title"/>
    <w:basedOn w:val="Normal"/>
    <w:qFormat/>
    <w:rsid w:val="00353ED8"/>
    <w:pPr>
      <w:jc w:val="center"/>
    </w:pPr>
    <w:rPr>
      <w:sz w:val="36"/>
    </w:rPr>
  </w:style>
  <w:style w:type="paragraph" w:styleId="BodyText">
    <w:name w:val="Body Text"/>
    <w:basedOn w:val="Normal"/>
    <w:rsid w:val="0050767B"/>
  </w:style>
  <w:style w:type="paragraph" w:styleId="BodyText2">
    <w:name w:val="Body Text 2"/>
    <w:basedOn w:val="Normal"/>
    <w:rsid w:val="0050767B"/>
    <w:pPr>
      <w:jc w:val="both"/>
    </w:pPr>
    <w:rPr>
      <w:snapToGrid w:val="0"/>
    </w:rPr>
  </w:style>
  <w:style w:type="paragraph" w:customStyle="1" w:styleId="staff">
    <w:name w:val="staff"/>
    <w:basedOn w:val="Normal"/>
    <w:rsid w:val="00B82D31"/>
    <w:pPr>
      <w:spacing w:before="100" w:beforeAutospacing="1" w:after="100" w:afterAutospacing="1"/>
      <w:jc w:val="both"/>
    </w:pPr>
    <w:rPr>
      <w:rFonts w:ascii="Verdana" w:hAnsi="Verdana"/>
      <w:color w:val="000000"/>
      <w:szCs w:val="24"/>
    </w:rPr>
  </w:style>
  <w:style w:type="paragraph" w:styleId="FootnoteText">
    <w:name w:val="footnote text"/>
    <w:basedOn w:val="Normal"/>
    <w:semiHidden/>
    <w:rsid w:val="00B82D31"/>
    <w:rPr>
      <w:sz w:val="20"/>
    </w:rPr>
  </w:style>
  <w:style w:type="character" w:styleId="FootnoteReference">
    <w:name w:val="footnote reference"/>
    <w:basedOn w:val="DefaultParagraphFont"/>
    <w:semiHidden/>
    <w:rsid w:val="00B82D31"/>
    <w:rPr>
      <w:vertAlign w:val="superscript"/>
    </w:rPr>
  </w:style>
  <w:style w:type="character" w:customStyle="1" w:styleId="documentbody1">
    <w:name w:val="documentbody1"/>
    <w:basedOn w:val="DefaultParagraphFont"/>
    <w:rsid w:val="00193556"/>
    <w:rPr>
      <w:rFonts w:ascii="Verdana" w:hAnsi="Verdana" w:hint="default"/>
      <w:sz w:val="19"/>
      <w:szCs w:val="19"/>
    </w:rPr>
  </w:style>
  <w:style w:type="character" w:styleId="Strong">
    <w:name w:val="Strong"/>
    <w:basedOn w:val="DefaultParagraphFont"/>
    <w:qFormat/>
    <w:rsid w:val="00193556"/>
    <w:rPr>
      <w:b/>
      <w:bCs/>
    </w:rPr>
  </w:style>
  <w:style w:type="character" w:customStyle="1" w:styleId="informationalsmall1">
    <w:name w:val="informationalsmall1"/>
    <w:basedOn w:val="DefaultParagraphFont"/>
    <w:rsid w:val="00193556"/>
    <w:rPr>
      <w:rFonts w:ascii="Verdana" w:hAnsi="Verdana" w:hint="default"/>
      <w:sz w:val="14"/>
      <w:szCs w:val="14"/>
    </w:rPr>
  </w:style>
  <w:style w:type="character" w:styleId="Hyperlink">
    <w:name w:val="Hyperlink"/>
    <w:basedOn w:val="DefaultParagraphFont"/>
    <w:rsid w:val="00982E1D"/>
    <w:rPr>
      <w:color w:val="0000FF"/>
      <w:u w:val="single"/>
    </w:rPr>
  </w:style>
  <w:style w:type="paragraph" w:styleId="Subtitle">
    <w:name w:val="Subtitle"/>
    <w:basedOn w:val="Normal"/>
    <w:qFormat/>
    <w:rsid w:val="00982E1D"/>
    <w:pPr>
      <w:jc w:val="center"/>
    </w:pPr>
    <w:rPr>
      <w:b/>
      <w:bCs/>
      <w:szCs w:val="24"/>
    </w:rPr>
  </w:style>
</w:styles>
</file>

<file path=word/webSettings.xml><?xml version="1.0" encoding="utf-8"?>
<w:webSettings xmlns:r="http://schemas.openxmlformats.org/officeDocument/2006/relationships" xmlns:w="http://schemas.openxmlformats.org/wordprocessingml/2006/main">
  <w:divs>
    <w:div w:id="1261336025">
      <w:bodyDiv w:val="1"/>
      <w:marLeft w:val="0"/>
      <w:marRight w:val="0"/>
      <w:marTop w:val="0"/>
      <w:marBottom w:val="0"/>
      <w:divBdr>
        <w:top w:val="none" w:sz="0" w:space="0" w:color="auto"/>
        <w:left w:val="none" w:sz="0" w:space="0" w:color="auto"/>
        <w:bottom w:val="none" w:sz="0" w:space="0" w:color="auto"/>
        <w:right w:val="none" w:sz="0" w:space="0" w:color="auto"/>
      </w:divBdr>
    </w:div>
    <w:div w:id="136139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dfeh.ca.gov" TargetMode="External"/><Relationship Id="rId13" Type="http://schemas.openxmlformats.org/officeDocument/2006/relationships/hyperlink" Target="http://www.pharmacy.ca/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n.ca.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ointcommission.org" TargetMode="External"/><Relationship Id="rId5" Type="http://schemas.openxmlformats.org/officeDocument/2006/relationships/webSettings" Target="webSettings.xml"/><Relationship Id="rId15" Type="http://schemas.openxmlformats.org/officeDocument/2006/relationships/hyperlink" Target="http://www.insurance.ca.gov" TargetMode="External"/><Relationship Id="rId10" Type="http://schemas.openxmlformats.org/officeDocument/2006/relationships/hyperlink" Target="http://www.hmohelp.ca.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edbd.ca.gov" TargetMode="External"/><Relationship Id="rId14" Type="http://schemas.openxmlformats.org/officeDocument/2006/relationships/hyperlink" Target="http://www.hmohelp.ca.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AB29D-00B7-41E3-B7CE-3515489D1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2153</Words>
  <Characters>11500</Characters>
  <Application>Microsoft Office Word</Application>
  <DocSecurity>0</DocSecurity>
  <Lines>179</Lines>
  <Paragraphs>30</Paragraphs>
  <ScaleCrop>false</ScaleCrop>
  <HeadingPairs>
    <vt:vector size="2" baseType="variant">
      <vt:variant>
        <vt:lpstr>Title</vt:lpstr>
      </vt:variant>
      <vt:variant>
        <vt:i4>1</vt:i4>
      </vt:variant>
    </vt:vector>
  </HeadingPairs>
  <TitlesOfParts>
    <vt:vector size="1" baseType="lpstr">
      <vt:lpstr>June 25, 2003</vt:lpstr>
    </vt:vector>
  </TitlesOfParts>
  <Company>Mongolia, LLP</Company>
  <LinksUpToDate>false</LinksUpToDate>
  <CharactersWithSpaces>13623</CharactersWithSpaces>
  <SharedDoc>false</SharedDoc>
  <HLinks>
    <vt:vector size="48" baseType="variant">
      <vt:variant>
        <vt:i4>4522007</vt:i4>
      </vt:variant>
      <vt:variant>
        <vt:i4>21</vt:i4>
      </vt:variant>
      <vt:variant>
        <vt:i4>0</vt:i4>
      </vt:variant>
      <vt:variant>
        <vt:i4>5</vt:i4>
      </vt:variant>
      <vt:variant>
        <vt:lpwstr>http://www.insurance.ca.gov/</vt:lpwstr>
      </vt:variant>
      <vt:variant>
        <vt:lpwstr/>
      </vt:variant>
      <vt:variant>
        <vt:i4>3407975</vt:i4>
      </vt:variant>
      <vt:variant>
        <vt:i4>18</vt:i4>
      </vt:variant>
      <vt:variant>
        <vt:i4>0</vt:i4>
      </vt:variant>
      <vt:variant>
        <vt:i4>5</vt:i4>
      </vt:variant>
      <vt:variant>
        <vt:lpwstr>http://www.hmohelp.ca.gov/</vt:lpwstr>
      </vt:variant>
      <vt:variant>
        <vt:lpwstr/>
      </vt:variant>
      <vt:variant>
        <vt:i4>6946929</vt:i4>
      </vt:variant>
      <vt:variant>
        <vt:i4>15</vt:i4>
      </vt:variant>
      <vt:variant>
        <vt:i4>0</vt:i4>
      </vt:variant>
      <vt:variant>
        <vt:i4>5</vt:i4>
      </vt:variant>
      <vt:variant>
        <vt:lpwstr>http://www.pharmacy.ca/gov</vt:lpwstr>
      </vt:variant>
      <vt:variant>
        <vt:lpwstr/>
      </vt:variant>
      <vt:variant>
        <vt:i4>458780</vt:i4>
      </vt:variant>
      <vt:variant>
        <vt:i4>12</vt:i4>
      </vt:variant>
      <vt:variant>
        <vt:i4>0</vt:i4>
      </vt:variant>
      <vt:variant>
        <vt:i4>5</vt:i4>
      </vt:variant>
      <vt:variant>
        <vt:lpwstr>http://www.rn.ca.gov/</vt:lpwstr>
      </vt:variant>
      <vt:variant>
        <vt:lpwstr/>
      </vt:variant>
      <vt:variant>
        <vt:i4>2228342</vt:i4>
      </vt:variant>
      <vt:variant>
        <vt:i4>9</vt:i4>
      </vt:variant>
      <vt:variant>
        <vt:i4>0</vt:i4>
      </vt:variant>
      <vt:variant>
        <vt:i4>5</vt:i4>
      </vt:variant>
      <vt:variant>
        <vt:lpwstr>http://www.jointcommission.org/</vt:lpwstr>
      </vt:variant>
      <vt:variant>
        <vt:lpwstr/>
      </vt:variant>
      <vt:variant>
        <vt:i4>3407975</vt:i4>
      </vt:variant>
      <vt:variant>
        <vt:i4>6</vt:i4>
      </vt:variant>
      <vt:variant>
        <vt:i4>0</vt:i4>
      </vt:variant>
      <vt:variant>
        <vt:i4>5</vt:i4>
      </vt:variant>
      <vt:variant>
        <vt:lpwstr>http://www.hmohelp.ca.gov/</vt:lpwstr>
      </vt:variant>
      <vt:variant>
        <vt:lpwstr/>
      </vt:variant>
      <vt:variant>
        <vt:i4>4915209</vt:i4>
      </vt:variant>
      <vt:variant>
        <vt:i4>3</vt:i4>
      </vt:variant>
      <vt:variant>
        <vt:i4>0</vt:i4>
      </vt:variant>
      <vt:variant>
        <vt:i4>5</vt:i4>
      </vt:variant>
      <vt:variant>
        <vt:lpwstr>http://www.medbd.ca.gov/</vt:lpwstr>
      </vt:variant>
      <vt:variant>
        <vt:lpwstr/>
      </vt:variant>
      <vt:variant>
        <vt:i4>7602300</vt:i4>
      </vt:variant>
      <vt:variant>
        <vt:i4>0</vt:i4>
      </vt:variant>
      <vt:variant>
        <vt:i4>0</vt:i4>
      </vt:variant>
      <vt:variant>
        <vt:i4>5</vt:i4>
      </vt:variant>
      <vt:variant>
        <vt:lpwstr>http://www.dfeh.ca.gov/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25, 2003</dc:title>
  <dc:creator>Chris</dc:creator>
  <cp:lastModifiedBy>Ben Schock</cp:lastModifiedBy>
  <cp:revision>2</cp:revision>
  <cp:lastPrinted>2010-01-12T16:31:00Z</cp:lastPrinted>
  <dcterms:created xsi:type="dcterms:W3CDTF">2011-07-08T15:47:00Z</dcterms:created>
  <dcterms:modified xsi:type="dcterms:W3CDTF">2011-07-08T15:47:00Z</dcterms:modified>
</cp:coreProperties>
</file>